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E4" w:rsidRDefault="00E70EE4" w:rsidP="00E70EE4">
      <w:pPr>
        <w:jc w:val="center"/>
        <w:rPr>
          <w:b/>
          <w:sz w:val="28"/>
          <w:szCs w:val="28"/>
        </w:rPr>
      </w:pPr>
      <w:bookmarkStart w:id="0" w:name="_GoBack"/>
      <w:bookmarkEnd w:id="0"/>
      <w:r w:rsidRPr="00EB1343">
        <w:rPr>
          <w:b/>
          <w:sz w:val="28"/>
          <w:szCs w:val="28"/>
        </w:rPr>
        <w:t>ОТЧЕТ НА ДЕЙНОСТИТЕ</w:t>
      </w:r>
      <w:r>
        <w:rPr>
          <w:b/>
          <w:sz w:val="28"/>
          <w:szCs w:val="28"/>
        </w:rPr>
        <w:t xml:space="preserve"> – </w:t>
      </w:r>
    </w:p>
    <w:p w:rsidR="00E70EE4" w:rsidRPr="00EB1343" w:rsidRDefault="00E70EE4" w:rsidP="00E70EE4">
      <w:pPr>
        <w:jc w:val="center"/>
        <w:rPr>
          <w:b/>
          <w:sz w:val="28"/>
          <w:szCs w:val="28"/>
        </w:rPr>
      </w:pPr>
      <w:r>
        <w:rPr>
          <w:b/>
          <w:sz w:val="28"/>
          <w:szCs w:val="28"/>
        </w:rPr>
        <w:t>Фондация „Обществен дарителски фонд – Габрово”</w:t>
      </w:r>
    </w:p>
    <w:p w:rsidR="00E70EE4" w:rsidRPr="001730A3" w:rsidRDefault="006022E1" w:rsidP="00E70EE4">
      <w:pPr>
        <w:jc w:val="center"/>
        <w:rPr>
          <w:b/>
          <w:sz w:val="28"/>
          <w:szCs w:val="28"/>
        </w:rPr>
      </w:pPr>
      <w:proofErr w:type="gramStart"/>
      <w:r>
        <w:rPr>
          <w:b/>
          <w:sz w:val="28"/>
          <w:szCs w:val="28"/>
          <w:lang w:val="en-US"/>
        </w:rPr>
        <w:t>201</w:t>
      </w:r>
      <w:r>
        <w:rPr>
          <w:b/>
          <w:sz w:val="28"/>
          <w:szCs w:val="28"/>
        </w:rPr>
        <w:t>7</w:t>
      </w:r>
      <w:r w:rsidR="00E70EE4">
        <w:rPr>
          <w:b/>
          <w:sz w:val="28"/>
          <w:szCs w:val="28"/>
        </w:rPr>
        <w:t xml:space="preserve"> г.</w:t>
      </w:r>
      <w:proofErr w:type="gramEnd"/>
    </w:p>
    <w:p w:rsidR="00E70EE4" w:rsidRPr="00172441" w:rsidRDefault="00E70EE4" w:rsidP="00E70EE4">
      <w:pPr>
        <w:pStyle w:val="BodyText"/>
        <w:spacing w:before="240"/>
        <w:jc w:val="both"/>
        <w:rPr>
          <w:b/>
          <w:szCs w:val="24"/>
          <w:lang w:val="ru-RU"/>
        </w:rPr>
      </w:pPr>
      <w:r w:rsidRPr="00172441">
        <w:rPr>
          <w:b/>
          <w:szCs w:val="24"/>
          <w:lang w:val="ru-RU"/>
        </w:rPr>
        <w:t xml:space="preserve">Основната цел на работата ни е утвърждаване мисията на обществената фондация в града ни, а именно мобилизиране на местни дарителски ресурси и подкрепа на активното гражданско общество. </w:t>
      </w:r>
    </w:p>
    <w:p w:rsidR="00E70EE4" w:rsidRPr="00172441" w:rsidRDefault="00E70EE4" w:rsidP="00E70EE4">
      <w:pPr>
        <w:pStyle w:val="BodyText"/>
        <w:spacing w:before="240"/>
        <w:jc w:val="both"/>
        <w:rPr>
          <w:b/>
          <w:szCs w:val="24"/>
          <w:lang w:val="ru-RU"/>
        </w:rPr>
      </w:pPr>
      <w:r w:rsidRPr="00172441">
        <w:rPr>
          <w:b/>
          <w:szCs w:val="24"/>
          <w:lang w:val="ru-RU"/>
        </w:rPr>
        <w:t xml:space="preserve">Реализирането на </w:t>
      </w:r>
      <w:r w:rsidR="006022E1">
        <w:rPr>
          <w:b/>
          <w:szCs w:val="24"/>
          <w:lang w:val="ru-RU"/>
        </w:rPr>
        <w:t xml:space="preserve">дейности в подкрепа на развитието на общността </w:t>
      </w:r>
      <w:r w:rsidRPr="00172441">
        <w:rPr>
          <w:b/>
          <w:szCs w:val="24"/>
          <w:lang w:val="ru-RU"/>
        </w:rPr>
        <w:t xml:space="preserve">е много важно за нас и за утвърждаването ни като общественно-полезна организация, която не е конкурент на останалите НПО в областта, а подкрепя целия НПО сектор – и като отпуска грантове в общността, и като изпълнява проекти, които никой друг не би изпълнил. </w:t>
      </w:r>
    </w:p>
    <w:p w:rsidR="001A5F80" w:rsidRDefault="00E70EE4" w:rsidP="00E70EE4">
      <w:pPr>
        <w:pStyle w:val="BodyText"/>
        <w:spacing w:before="240"/>
        <w:jc w:val="both"/>
        <w:rPr>
          <w:b/>
          <w:szCs w:val="24"/>
          <w:lang w:val="ru-RU"/>
        </w:rPr>
      </w:pPr>
      <w:r w:rsidRPr="00172441">
        <w:rPr>
          <w:b/>
          <w:szCs w:val="24"/>
          <w:lang w:val="ru-RU"/>
        </w:rPr>
        <w:t xml:space="preserve">В рамките на </w:t>
      </w:r>
      <w:r w:rsidR="006022E1">
        <w:rPr>
          <w:b/>
          <w:szCs w:val="24"/>
          <w:lang w:val="ru-RU"/>
        </w:rPr>
        <w:t>2017</w:t>
      </w:r>
      <w:r w:rsidRPr="00172441">
        <w:rPr>
          <w:b/>
          <w:szCs w:val="24"/>
          <w:lang w:val="ru-RU"/>
        </w:rPr>
        <w:t xml:space="preserve">г </w:t>
      </w:r>
      <w:r w:rsidR="006022E1">
        <w:rPr>
          <w:b/>
          <w:szCs w:val="24"/>
          <w:lang w:val="ru-RU"/>
        </w:rPr>
        <w:t>не е реализиран</w:t>
      </w:r>
      <w:r w:rsidRPr="00172441">
        <w:rPr>
          <w:b/>
          <w:szCs w:val="24"/>
          <w:lang w:val="ru-RU"/>
        </w:rPr>
        <w:t xml:space="preserve"> проект за ре-грантинг, </w:t>
      </w:r>
      <w:r w:rsidR="006022E1">
        <w:rPr>
          <w:b/>
          <w:szCs w:val="24"/>
          <w:lang w:val="ru-RU"/>
        </w:rPr>
        <w:t>тъй като в първите месеци приключваха проекти от миналата година, а от с</w:t>
      </w:r>
      <w:r w:rsidR="001A5F80">
        <w:rPr>
          <w:b/>
          <w:szCs w:val="24"/>
          <w:lang w:val="ru-RU"/>
        </w:rPr>
        <w:t>редата на годината до края течеш</w:t>
      </w:r>
      <w:r w:rsidR="006022E1">
        <w:rPr>
          <w:b/>
          <w:szCs w:val="24"/>
          <w:lang w:val="ru-RU"/>
        </w:rPr>
        <w:t xml:space="preserve">е процес на подбор на проекти </w:t>
      </w:r>
      <w:r w:rsidR="001A5F80">
        <w:rPr>
          <w:b/>
          <w:szCs w:val="24"/>
          <w:lang w:val="ru-RU"/>
        </w:rPr>
        <w:t xml:space="preserve">и организиране на дарителски кръг за набиране на средства и реализиране на ре-грантинг програма от началото на 2018г. </w:t>
      </w:r>
    </w:p>
    <w:p w:rsidR="00E70EE4" w:rsidRPr="00172441" w:rsidRDefault="00E70EE4" w:rsidP="00E70EE4">
      <w:pPr>
        <w:pStyle w:val="BodyText"/>
        <w:spacing w:before="240"/>
        <w:jc w:val="both"/>
        <w:rPr>
          <w:b/>
          <w:szCs w:val="24"/>
          <w:lang w:val="ru-RU"/>
        </w:rPr>
      </w:pPr>
      <w:r w:rsidRPr="00172441">
        <w:rPr>
          <w:b/>
          <w:szCs w:val="24"/>
          <w:lang w:val="ru-RU"/>
        </w:rPr>
        <w:t>П</w:t>
      </w:r>
      <w:r w:rsidR="001A5F80">
        <w:rPr>
          <w:b/>
          <w:szCs w:val="24"/>
          <w:lang w:val="ru-RU"/>
        </w:rPr>
        <w:t>рез 2017г подкрепихме като партньор основно 5 инициативи</w:t>
      </w:r>
      <w:r w:rsidRPr="00172441">
        <w:rPr>
          <w:b/>
          <w:szCs w:val="24"/>
          <w:lang w:val="ru-RU"/>
        </w:rPr>
        <w:t xml:space="preserve">, </w:t>
      </w:r>
      <w:r w:rsidR="001A5F80">
        <w:rPr>
          <w:b/>
          <w:szCs w:val="24"/>
          <w:lang w:val="ru-RU"/>
        </w:rPr>
        <w:t>чрзе които</w:t>
      </w:r>
      <w:r w:rsidRPr="00172441">
        <w:rPr>
          <w:b/>
          <w:szCs w:val="24"/>
          <w:lang w:val="ru-RU"/>
        </w:rPr>
        <w:t xml:space="preserve"> допринесохме за утвърждаване на активно гражданско общество и мобилизиране на доброволчеството. Повечето проекти са свързани с дейности в подкрепа на </w:t>
      </w:r>
      <w:r w:rsidR="001A5F80">
        <w:rPr>
          <w:b/>
          <w:szCs w:val="24"/>
          <w:lang w:val="ru-RU"/>
        </w:rPr>
        <w:t xml:space="preserve">националната идентичност и съхраняване на историята / «Шипченска епопея 017»/, </w:t>
      </w:r>
      <w:r w:rsidR="009B6582">
        <w:rPr>
          <w:b/>
          <w:szCs w:val="24"/>
          <w:lang w:val="ru-RU"/>
        </w:rPr>
        <w:t xml:space="preserve">инициативи на </w:t>
      </w:r>
      <w:r w:rsidRPr="00172441">
        <w:rPr>
          <w:b/>
          <w:szCs w:val="24"/>
          <w:lang w:val="ru-RU"/>
        </w:rPr>
        <w:t xml:space="preserve">младите хора </w:t>
      </w:r>
      <w:r w:rsidR="009B6582">
        <w:rPr>
          <w:b/>
          <w:szCs w:val="24"/>
          <w:lang w:val="ru-RU"/>
        </w:rPr>
        <w:t xml:space="preserve">/ «По-познати туристически обекти за туристите в Севлиево» /, Обновяване на обзавеждането в Приемен кабинет и манипулационна в Родилно отделение към МБАЛ Габрово. </w:t>
      </w:r>
    </w:p>
    <w:p w:rsidR="00E70EE4" w:rsidRPr="00F05F9C" w:rsidRDefault="00E70EE4" w:rsidP="00F05F9C">
      <w:pPr>
        <w:pStyle w:val="BodyText"/>
        <w:spacing w:before="240"/>
        <w:jc w:val="both"/>
        <w:rPr>
          <w:b/>
          <w:szCs w:val="24"/>
          <w:lang w:val="ru-RU"/>
        </w:rPr>
      </w:pPr>
      <w:r w:rsidRPr="00F05F9C">
        <w:rPr>
          <w:b/>
          <w:szCs w:val="24"/>
          <w:lang w:val="ru-RU"/>
        </w:rPr>
        <w:t xml:space="preserve">Описание на подкрепените и  реализирани  </w:t>
      </w:r>
      <w:r w:rsidR="00770B39">
        <w:rPr>
          <w:b/>
          <w:szCs w:val="24"/>
          <w:lang w:val="ru-RU"/>
        </w:rPr>
        <w:t>инициативи</w:t>
      </w:r>
      <w:r w:rsidRPr="00F05F9C">
        <w:rPr>
          <w:b/>
          <w:szCs w:val="24"/>
          <w:lang w:val="ru-RU"/>
        </w:rPr>
        <w:t>:</w:t>
      </w:r>
    </w:p>
    <w:p w:rsidR="00E70EE4" w:rsidRDefault="00E70EE4" w:rsidP="00E70EE4">
      <w:pPr>
        <w:ind w:left="720"/>
        <w:jc w:val="both"/>
        <w:rPr>
          <w:szCs w:val="24"/>
        </w:rPr>
      </w:pPr>
    </w:p>
    <w:p w:rsidR="00077FD7" w:rsidRPr="00077FD7" w:rsidRDefault="00077FD7" w:rsidP="00077FD7">
      <w:pPr>
        <w:pStyle w:val="ListParagraph"/>
        <w:numPr>
          <w:ilvl w:val="0"/>
          <w:numId w:val="10"/>
        </w:numPr>
        <w:ind w:left="720"/>
        <w:jc w:val="both"/>
        <w:rPr>
          <w:b/>
          <w:szCs w:val="24"/>
          <w:lang w:val="ru-RU"/>
        </w:rPr>
      </w:pPr>
      <w:r w:rsidRPr="00077FD7">
        <w:rPr>
          <w:b/>
          <w:szCs w:val="24"/>
          <w:lang w:val="ru-RU"/>
        </w:rPr>
        <w:t xml:space="preserve">Една от каузите, за които Обществен дарителски фонд – Габрово работи от самото си създаване е превръщането на МБАЛ „Д-р Тота Венкова“ в съвременен център на здравеопазването в региона с добри условия за лечение на пациентите. Стартирахме с цялостен основен ремонт на Отделения „Реанимация“  и „Хемодиализа“.  А в последните 10 години приоритетно се насочихме към подобряване на условията  в Родилно отделение и отделение Неонатология.  Бяха реализирани различни инициативи с подкрепата на Обществения фонд – обособена бе стая за изписване на бебетата, осъществен бе ремонт на интензивния сектор в Неонатология и частичен ремонт на стаите в Родилно отделение. Осъвременени бяха предродилната и родилната зала. </w:t>
      </w:r>
    </w:p>
    <w:p w:rsidR="00077FD7" w:rsidRPr="00077FD7" w:rsidRDefault="00077FD7" w:rsidP="00077FD7">
      <w:pPr>
        <w:ind w:left="720"/>
        <w:jc w:val="both"/>
        <w:rPr>
          <w:b/>
          <w:szCs w:val="24"/>
          <w:lang w:val="ru-RU"/>
        </w:rPr>
      </w:pPr>
      <w:r w:rsidRPr="00077FD7">
        <w:rPr>
          <w:b/>
          <w:szCs w:val="24"/>
          <w:lang w:val="ru-RU"/>
        </w:rPr>
        <w:t>По инициатива на Обществения дарителски фонд се преоборудва</w:t>
      </w:r>
      <w:r>
        <w:rPr>
          <w:b/>
          <w:szCs w:val="24"/>
          <w:lang w:val="ru-RU"/>
        </w:rPr>
        <w:t>ха</w:t>
      </w:r>
      <w:r w:rsidRPr="00077FD7">
        <w:rPr>
          <w:b/>
          <w:szCs w:val="24"/>
          <w:lang w:val="ru-RU"/>
        </w:rPr>
        <w:t xml:space="preserve"> приемния кабинет и манипулационната в Родилно отделение. Това са първите кабинети, в които влиза всяка родилка, а я посрещат акушеро-гинекологични столове на повече от 40 години. Затова решихме, че първите впечатления трябва да създават чувство на доверие, спокойствие и стабилност. За целта Обществен дарителски фонд организира дарителска кампания и вече са закупени два нови съвременни АГ стола - за приемен кабинет и манипулационната в Родилно отделение. Мебели „Виденов“ също ни подкрепиха и подменихме старите бюра и столове. Вместо старите мебели, </w:t>
      </w:r>
      <w:r w:rsidRPr="00077FD7">
        <w:rPr>
          <w:b/>
          <w:szCs w:val="24"/>
          <w:lang w:val="ru-RU"/>
        </w:rPr>
        <w:lastRenderedPageBreak/>
        <w:t>пребоядисвани десетки пъти в бяло, сега там посрещат нови цветове -  жълто-зелени бюра, зелени АГ столове и ведра атмосфера.</w:t>
      </w:r>
    </w:p>
    <w:p w:rsidR="004C012A" w:rsidRDefault="00077FD7" w:rsidP="00077FD7">
      <w:pPr>
        <w:ind w:left="720"/>
        <w:jc w:val="both"/>
        <w:rPr>
          <w:b/>
          <w:szCs w:val="24"/>
          <w:lang w:val="ru-RU"/>
        </w:rPr>
      </w:pPr>
      <w:r>
        <w:rPr>
          <w:b/>
          <w:szCs w:val="24"/>
          <w:lang w:val="ru-RU"/>
        </w:rPr>
        <w:t xml:space="preserve">През 2017г се реализира и </w:t>
      </w:r>
      <w:r w:rsidRPr="00077FD7">
        <w:rPr>
          <w:b/>
          <w:szCs w:val="24"/>
          <w:lang w:val="ru-RU"/>
        </w:rPr>
        <w:t>инициатива - "Дари метър плат за шарен детски свят" с подкрепата на местните медии и сп. „Моето бебе и аз“. Събр</w:t>
      </w:r>
      <w:r>
        <w:rPr>
          <w:b/>
          <w:szCs w:val="24"/>
          <w:lang w:val="ru-RU"/>
        </w:rPr>
        <w:t>ахме</w:t>
      </w:r>
      <w:r w:rsidRPr="00077FD7">
        <w:rPr>
          <w:b/>
          <w:szCs w:val="24"/>
          <w:lang w:val="ru-RU"/>
        </w:rPr>
        <w:t xml:space="preserve"> дарения</w:t>
      </w:r>
      <w:r w:rsidR="004C012A">
        <w:rPr>
          <w:b/>
          <w:szCs w:val="24"/>
          <w:lang w:val="ru-RU"/>
        </w:rPr>
        <w:t xml:space="preserve"> </w:t>
      </w:r>
      <w:r w:rsidRPr="00077FD7">
        <w:rPr>
          <w:b/>
          <w:szCs w:val="24"/>
          <w:lang w:val="ru-RU"/>
        </w:rPr>
        <w:t xml:space="preserve"> (детски памучни платове или средства за закупуване на такива), за да подменим постелъчното бельо за бебетата (чаршафчета, пликове за завивки, пелени)  и чаршафите в стаите на родилките</w:t>
      </w:r>
      <w:r w:rsidR="004C012A">
        <w:rPr>
          <w:b/>
          <w:szCs w:val="24"/>
          <w:lang w:val="ru-RU"/>
        </w:rPr>
        <w:t xml:space="preserve"> – над 120м плат общо</w:t>
      </w:r>
      <w:r w:rsidRPr="00077FD7">
        <w:rPr>
          <w:b/>
          <w:szCs w:val="24"/>
          <w:lang w:val="ru-RU"/>
        </w:rPr>
        <w:t xml:space="preserve">. </w:t>
      </w:r>
    </w:p>
    <w:p w:rsidR="00077FD7" w:rsidRPr="00077FD7" w:rsidRDefault="00077FD7" w:rsidP="00077FD7">
      <w:pPr>
        <w:ind w:left="720"/>
        <w:jc w:val="both"/>
        <w:rPr>
          <w:b/>
          <w:szCs w:val="24"/>
          <w:lang w:val="ru-RU"/>
        </w:rPr>
      </w:pPr>
      <w:r w:rsidRPr="00077FD7">
        <w:rPr>
          <w:b/>
          <w:szCs w:val="24"/>
          <w:lang w:val="ru-RU"/>
        </w:rPr>
        <w:t xml:space="preserve">Работещите в двете отделения активно се включват в инициативите за обновяване и промяна на нагласата за визията на болничните отделения. Акушерка от Отделение Неонатология прие предизвикателството и </w:t>
      </w:r>
      <w:r w:rsidR="004C012A">
        <w:rPr>
          <w:b/>
          <w:szCs w:val="24"/>
          <w:lang w:val="ru-RU"/>
        </w:rPr>
        <w:t>ще</w:t>
      </w:r>
      <w:r w:rsidRPr="00077FD7">
        <w:rPr>
          <w:b/>
          <w:szCs w:val="24"/>
          <w:lang w:val="ru-RU"/>
        </w:rPr>
        <w:t xml:space="preserve"> ушие от дарените платове чаршафи, пликове за завивки и пелени.</w:t>
      </w:r>
    </w:p>
    <w:p w:rsidR="00824084" w:rsidRDefault="00770B39" w:rsidP="00770B39">
      <w:pPr>
        <w:pStyle w:val="ListParagraph"/>
        <w:numPr>
          <w:ilvl w:val="0"/>
          <w:numId w:val="10"/>
        </w:numPr>
        <w:ind w:left="720"/>
        <w:jc w:val="both"/>
        <w:rPr>
          <w:b/>
          <w:szCs w:val="24"/>
          <w:lang w:val="ru-RU"/>
        </w:rPr>
      </w:pPr>
      <w:r w:rsidRPr="00824084">
        <w:rPr>
          <w:b/>
          <w:szCs w:val="24"/>
          <w:lang w:val="ru-RU"/>
        </w:rPr>
        <w:t xml:space="preserve">«По-познати туристически обекти за туристите в Севлиево»  е младежката инициатива, подкрепена от Обществения дарителски фонд, Ротаракт и Ротари - Севлиево, която цели да станат по-видими културно-историческите забележителности в Севлиево. Младежите проучиха 17 туристически обекта, след като проведоха няколко срещи и посещения в местния Исторически музей. Събраната информация е преведена на 3 езика и освен на табели, е  достъпна и на уеб-сайт с четири езикови версии – български, английски, немски и руски. По този начин тя ще достигне до възможно най-голям брой туристи от България и чужбина и ще промотира местните възможности за туризъм. Вече са изработени и монтирани 17 мострени табели за забележителностите. </w:t>
      </w:r>
      <w:r w:rsidR="004C012A" w:rsidRPr="00824084">
        <w:rPr>
          <w:b/>
          <w:szCs w:val="24"/>
          <w:lang w:val="ru-RU"/>
        </w:rPr>
        <w:t xml:space="preserve"> </w:t>
      </w:r>
    </w:p>
    <w:p w:rsidR="00824084" w:rsidRDefault="00824084" w:rsidP="00824084">
      <w:pPr>
        <w:pStyle w:val="ListParagraph"/>
        <w:jc w:val="both"/>
        <w:rPr>
          <w:b/>
          <w:szCs w:val="24"/>
          <w:lang w:val="ru-RU"/>
        </w:rPr>
      </w:pPr>
    </w:p>
    <w:p w:rsidR="00770B39" w:rsidRDefault="00770B39" w:rsidP="00824084">
      <w:pPr>
        <w:pStyle w:val="ListParagraph"/>
        <w:jc w:val="both"/>
        <w:rPr>
          <w:b/>
          <w:szCs w:val="24"/>
          <w:lang w:val="ru-RU"/>
        </w:rPr>
      </w:pPr>
      <w:r w:rsidRPr="00824084">
        <w:rPr>
          <w:b/>
          <w:szCs w:val="24"/>
          <w:lang w:val="ru-RU"/>
        </w:rPr>
        <w:t>В началото на реализацията на инициативата Обществен дарителски фонд - Габрово проведе обучение с младежите като им демонстрира как сами да разпишат план и изпълнят стъпка по стъпка начертаните от тях дейности за реализация на инициативата. Работата им до момента, съвместно с координатора за Севлиево, показва, че те се справят изключително успешно с изпълнението на дейностите. Обучението и младежката инициатива се реализира</w:t>
      </w:r>
      <w:r w:rsidR="00093D6E" w:rsidRPr="00824084">
        <w:rPr>
          <w:b/>
          <w:szCs w:val="24"/>
          <w:lang w:val="ru-RU"/>
        </w:rPr>
        <w:t>ха</w:t>
      </w:r>
      <w:r w:rsidRPr="00824084">
        <w:rPr>
          <w:b/>
          <w:szCs w:val="24"/>
          <w:lang w:val="ru-RU"/>
        </w:rPr>
        <w:t xml:space="preserve"> в рамките на проект за институционално укрепване на Фондация "Обществен дарителски фонд - Габрово", изпълняван с подкрепата на ФРГИ.</w:t>
      </w:r>
    </w:p>
    <w:p w:rsidR="000C0451" w:rsidRDefault="000C0451" w:rsidP="00824084">
      <w:pPr>
        <w:pStyle w:val="ListParagraph"/>
        <w:jc w:val="both"/>
        <w:rPr>
          <w:b/>
          <w:szCs w:val="24"/>
          <w:lang w:val="ru-RU"/>
        </w:rPr>
      </w:pPr>
    </w:p>
    <w:p w:rsidR="000C0451" w:rsidRDefault="000C0451" w:rsidP="00785BA0">
      <w:pPr>
        <w:pStyle w:val="ListParagraph"/>
        <w:ind w:left="709"/>
        <w:jc w:val="both"/>
        <w:rPr>
          <w:b/>
          <w:szCs w:val="24"/>
          <w:lang w:val="ru-RU"/>
        </w:rPr>
      </w:pPr>
    </w:p>
    <w:p w:rsidR="000C0451" w:rsidRPr="00785BA0" w:rsidRDefault="00785BA0" w:rsidP="00785BA0">
      <w:pPr>
        <w:pStyle w:val="ListParagraph"/>
        <w:numPr>
          <w:ilvl w:val="0"/>
          <w:numId w:val="10"/>
        </w:numPr>
        <w:tabs>
          <w:tab w:val="left" w:pos="709"/>
        </w:tabs>
        <w:ind w:left="709" w:firstLine="0"/>
        <w:jc w:val="both"/>
        <w:rPr>
          <w:b/>
          <w:szCs w:val="24"/>
          <w:lang w:val="ru-RU"/>
        </w:rPr>
      </w:pPr>
      <w:r w:rsidRPr="00785BA0">
        <w:rPr>
          <w:b/>
          <w:szCs w:val="24"/>
          <w:lang w:val="ru-RU"/>
        </w:rPr>
        <w:t xml:space="preserve"> </w:t>
      </w:r>
      <w:r w:rsidR="000C0451" w:rsidRPr="00785BA0">
        <w:rPr>
          <w:b/>
          <w:szCs w:val="24"/>
          <w:lang w:val="ru-RU"/>
        </w:rPr>
        <w:t xml:space="preserve">Второ издание на националната детска асамблея „Празнични докосвания в цвят и коприна“ се проведе </w:t>
      </w:r>
      <w:r w:rsidR="00414F95" w:rsidRPr="00785BA0">
        <w:rPr>
          <w:b/>
          <w:szCs w:val="24"/>
          <w:lang w:val="ru-RU"/>
        </w:rPr>
        <w:t xml:space="preserve">на 18 май </w:t>
      </w:r>
      <w:r w:rsidR="000C0451" w:rsidRPr="00785BA0">
        <w:rPr>
          <w:b/>
          <w:szCs w:val="24"/>
          <w:lang w:val="ru-RU"/>
        </w:rPr>
        <w:t>в рамките на празничната програма по случай Деня на Габрово.  Асамблеята се организира от Школата за приложни изкуства – Ива Пенчева с подкрепата на Обществен дарителски фонд – Габрово.  Всички деца, желаещи да опитат как се рисува върху коприна, се включ</w:t>
      </w:r>
      <w:r w:rsidR="00414F95" w:rsidRPr="00785BA0">
        <w:rPr>
          <w:b/>
          <w:szCs w:val="24"/>
          <w:lang w:val="ru-RU"/>
        </w:rPr>
        <w:t xml:space="preserve">иха </w:t>
      </w:r>
      <w:r w:rsidR="000C0451" w:rsidRPr="00785BA0">
        <w:rPr>
          <w:b/>
          <w:szCs w:val="24"/>
          <w:lang w:val="ru-RU"/>
        </w:rPr>
        <w:t xml:space="preserve"> в арт ателието, което </w:t>
      </w:r>
      <w:r w:rsidR="00414F95" w:rsidRPr="00785BA0">
        <w:rPr>
          <w:b/>
          <w:szCs w:val="24"/>
          <w:lang w:val="ru-RU"/>
        </w:rPr>
        <w:t>беше</w:t>
      </w:r>
      <w:r w:rsidR="000C0451" w:rsidRPr="00785BA0">
        <w:rPr>
          <w:b/>
          <w:szCs w:val="24"/>
          <w:lang w:val="ru-RU"/>
        </w:rPr>
        <w:t xml:space="preserve"> разположено в двора на Интерактивния музей на индустрията от 15 до 18 часа. Материалите </w:t>
      </w:r>
      <w:r w:rsidR="00414F95" w:rsidRPr="00785BA0">
        <w:rPr>
          <w:b/>
          <w:szCs w:val="24"/>
          <w:lang w:val="ru-RU"/>
        </w:rPr>
        <w:t>бяха</w:t>
      </w:r>
      <w:r w:rsidR="000C0451" w:rsidRPr="00785BA0">
        <w:rPr>
          <w:b/>
          <w:szCs w:val="24"/>
          <w:lang w:val="ru-RU"/>
        </w:rPr>
        <w:t xml:space="preserve"> осигурени от Обществен дарителски фонд. Голяма част от картините, които </w:t>
      </w:r>
      <w:r w:rsidR="00414F95" w:rsidRPr="00785BA0">
        <w:rPr>
          <w:b/>
          <w:szCs w:val="24"/>
          <w:lang w:val="ru-RU"/>
        </w:rPr>
        <w:t xml:space="preserve">бяха </w:t>
      </w:r>
      <w:r w:rsidR="000C0451" w:rsidRPr="00785BA0">
        <w:rPr>
          <w:b/>
          <w:szCs w:val="24"/>
          <w:lang w:val="ru-RU"/>
        </w:rPr>
        <w:t xml:space="preserve"> нарисувани в рамките на асамблеята в градовете Габрово, Севлиево, Трявна и Варна, ще бъдат продадени с благотворителна цел като средствата ще бъдат използвани в подкрепа на децата с булозна епидермолиза. Това е  рядко генетично заболяване, при което кожата е уязвима като крилце на пеперуда. Затова често децата с булозна епидермолиза са наричани „пеперудени деца“. </w:t>
      </w:r>
      <w:r>
        <w:rPr>
          <w:b/>
          <w:szCs w:val="24"/>
          <w:lang w:val="ru-RU"/>
        </w:rPr>
        <w:t>В</w:t>
      </w:r>
      <w:r w:rsidR="000C0451" w:rsidRPr="00785BA0">
        <w:rPr>
          <w:b/>
          <w:szCs w:val="24"/>
          <w:lang w:val="ru-RU"/>
        </w:rPr>
        <w:t xml:space="preserve">ърху сградата на Интерактивния музей на индустрията </w:t>
      </w:r>
      <w:r w:rsidR="00414F95" w:rsidRPr="00785BA0">
        <w:rPr>
          <w:b/>
          <w:szCs w:val="24"/>
          <w:lang w:val="ru-RU"/>
        </w:rPr>
        <w:t>беше</w:t>
      </w:r>
      <w:r w:rsidR="000C0451" w:rsidRPr="00785BA0">
        <w:rPr>
          <w:b/>
          <w:szCs w:val="24"/>
          <w:lang w:val="ru-RU"/>
        </w:rPr>
        <w:t xml:space="preserve"> прожектиран 3D мапинг с рисунки върху коприна от Асамблеята. </w:t>
      </w:r>
    </w:p>
    <w:p w:rsidR="00414F95" w:rsidRDefault="00414F95" w:rsidP="000C0451">
      <w:pPr>
        <w:pStyle w:val="ListParagraph"/>
        <w:ind w:left="1440"/>
        <w:jc w:val="both"/>
        <w:rPr>
          <w:b/>
          <w:szCs w:val="24"/>
          <w:lang w:val="ru-RU"/>
        </w:rPr>
      </w:pPr>
      <w:r>
        <w:rPr>
          <w:b/>
          <w:szCs w:val="24"/>
          <w:lang w:val="ru-RU"/>
        </w:rPr>
        <w:lastRenderedPageBreak/>
        <w:t>През месеците май-юни – юли – август – септември периодично се организираха ателиета не само за деца, но и за родители.</w:t>
      </w:r>
    </w:p>
    <w:p w:rsidR="00414F95" w:rsidRDefault="00414F95" w:rsidP="000C0451">
      <w:pPr>
        <w:pStyle w:val="ListParagraph"/>
        <w:ind w:left="1440"/>
        <w:jc w:val="both"/>
        <w:rPr>
          <w:b/>
          <w:szCs w:val="24"/>
          <w:lang w:val="ru-RU"/>
        </w:rPr>
      </w:pPr>
    </w:p>
    <w:p w:rsidR="00DF4167" w:rsidRDefault="00DF4167" w:rsidP="00DF4167">
      <w:pPr>
        <w:pStyle w:val="ListParagraph"/>
        <w:numPr>
          <w:ilvl w:val="0"/>
          <w:numId w:val="10"/>
        </w:numPr>
        <w:jc w:val="both"/>
        <w:rPr>
          <w:b/>
          <w:szCs w:val="24"/>
          <w:lang w:val="ru-RU"/>
        </w:rPr>
      </w:pPr>
      <w:r>
        <w:rPr>
          <w:b/>
          <w:szCs w:val="24"/>
          <w:lang w:val="ru-RU"/>
        </w:rPr>
        <w:t>Шипченска епопея 2017</w:t>
      </w:r>
    </w:p>
    <w:p w:rsidR="00DF4167" w:rsidRPr="00DF4167" w:rsidRDefault="00DF4167" w:rsidP="00DF4167">
      <w:pPr>
        <w:pStyle w:val="ListParagraph"/>
        <w:ind w:left="1440"/>
        <w:jc w:val="both"/>
        <w:rPr>
          <w:b/>
          <w:szCs w:val="24"/>
          <w:lang w:val="ru-RU"/>
        </w:rPr>
      </w:pPr>
      <w:r w:rsidRPr="00DF4167">
        <w:rPr>
          <w:b/>
          <w:szCs w:val="24"/>
          <w:lang w:val="ru-RU"/>
        </w:rPr>
        <w:t>С богата програма от инициативи бе отбелязана 140 годишнината от Шипченската епопея. Походи, изложби, състезания по изкачване на стълби, състезание по ориентиране, прожекции на филми, занимателна работилница за деца, възстановка на боевете са само част от събитията включени в тазгодишната програма на честванията, които се провеждат под патронажа на Президента на Република България - г-н Румен Радев със съдействието на Областен управител на Габрово и Инициативен комитет. Официално националните чествания се провеждат за шести път като кулминацията тази година бе на 26 август на самия връх Шипка. Съ-организатор на събитието е Обществен дарителски фонд – Габрово, който вече традиционно набира дарения, за да може да се провеждат честванията. В дарителската кампания „Шипченска епопея 2017” се включиха както редица фирми от област Габрово – ДИСИКОМ ООД, ХАМБЕРГЕР БЪЛГАРИЯ ЕООД, ХЕЛИОС АД, ПАРАЛЕЛ ЕАД,  ЕЛВИ ООД,  ИДЕАЛ СТАНДАРТ ВИДИМА АД,както и „СИБАНК” ЕАД. Някои от тях вече са традиционни дарители за Шипченската епопея. Бяха събрани общо 11 400 лева, с които се финансираха различните инициативи, включени в честванията.</w:t>
      </w:r>
    </w:p>
    <w:p w:rsidR="00414F95" w:rsidRPr="000C0451" w:rsidRDefault="00DF4167" w:rsidP="00DF4167">
      <w:pPr>
        <w:pStyle w:val="ListParagraph"/>
        <w:ind w:left="1440"/>
        <w:jc w:val="both"/>
        <w:rPr>
          <w:b/>
          <w:szCs w:val="24"/>
          <w:lang w:val="ru-RU"/>
        </w:rPr>
      </w:pPr>
      <w:r w:rsidRPr="00DF4167">
        <w:rPr>
          <w:b/>
          <w:szCs w:val="24"/>
          <w:lang w:val="ru-RU"/>
        </w:rPr>
        <w:t>Честванията от боевете на Шипка през август 1877 целят съхраняване на националната памет и идентичност и насърчаване интереса към българската история.</w:t>
      </w:r>
    </w:p>
    <w:p w:rsidR="000C0451" w:rsidRDefault="000C0451" w:rsidP="00824084">
      <w:pPr>
        <w:pStyle w:val="ListParagraph"/>
        <w:jc w:val="both"/>
        <w:rPr>
          <w:b/>
          <w:szCs w:val="24"/>
          <w:lang w:val="ru-RU"/>
        </w:rPr>
      </w:pPr>
    </w:p>
    <w:p w:rsidR="00ED0B45" w:rsidRPr="00824084" w:rsidRDefault="00ED0B45" w:rsidP="00824084">
      <w:pPr>
        <w:pStyle w:val="ListParagraph"/>
        <w:jc w:val="both"/>
        <w:rPr>
          <w:b/>
          <w:szCs w:val="24"/>
          <w:lang w:val="ru-RU"/>
        </w:rPr>
      </w:pPr>
    </w:p>
    <w:p w:rsidR="00ED0B45" w:rsidRPr="00172441" w:rsidRDefault="00ED0B45" w:rsidP="00ED0B45">
      <w:pPr>
        <w:numPr>
          <w:ilvl w:val="12"/>
          <w:numId w:val="0"/>
        </w:numPr>
        <w:tabs>
          <w:tab w:val="left" w:pos="1410"/>
        </w:tabs>
        <w:jc w:val="both"/>
        <w:rPr>
          <w:b/>
          <w:bCs/>
          <w:i/>
          <w:iCs/>
          <w:szCs w:val="24"/>
        </w:rPr>
      </w:pPr>
      <w:r>
        <w:rPr>
          <w:b/>
          <w:bCs/>
          <w:i/>
          <w:iCs/>
          <w:szCs w:val="24"/>
        </w:rPr>
        <w:t xml:space="preserve">Дарителският кръг, проведен през 2017г </w:t>
      </w:r>
      <w:r w:rsidRPr="00172441">
        <w:rPr>
          <w:b/>
          <w:bCs/>
          <w:i/>
          <w:iCs/>
          <w:szCs w:val="24"/>
        </w:rPr>
        <w:t xml:space="preserve">е </w:t>
      </w:r>
      <w:r>
        <w:rPr>
          <w:b/>
          <w:bCs/>
          <w:i/>
          <w:iCs/>
          <w:szCs w:val="24"/>
        </w:rPr>
        <w:t xml:space="preserve">осмият </w:t>
      </w:r>
      <w:r w:rsidRPr="00172441">
        <w:rPr>
          <w:b/>
          <w:bCs/>
          <w:i/>
          <w:iCs/>
          <w:szCs w:val="24"/>
        </w:rPr>
        <w:t xml:space="preserve"> пореден такъв, който се осъществява под мотото „За Габрово!” и приема идеи от цялата габровска област. За първи път, обаче, се включи </w:t>
      </w:r>
      <w:r w:rsidR="00D8022C">
        <w:rPr>
          <w:b/>
          <w:bCs/>
          <w:i/>
          <w:iCs/>
          <w:szCs w:val="24"/>
        </w:rPr>
        <w:t>проект на обединение от спортни клубове, , целящ</w:t>
      </w:r>
      <w:r w:rsidRPr="00172441">
        <w:rPr>
          <w:b/>
          <w:bCs/>
          <w:i/>
          <w:iCs/>
          <w:szCs w:val="24"/>
        </w:rPr>
        <w:t xml:space="preserve"> да подпомогне </w:t>
      </w:r>
      <w:r w:rsidR="00D8022C">
        <w:rPr>
          <w:b/>
          <w:bCs/>
          <w:i/>
          <w:iCs/>
          <w:szCs w:val="24"/>
        </w:rPr>
        <w:t xml:space="preserve">развитието на зимните спортове и достъпността на децата до местността Узана, за да тренират. Това индиректно ще повлияе и </w:t>
      </w:r>
      <w:r w:rsidRPr="00172441">
        <w:rPr>
          <w:b/>
          <w:bCs/>
          <w:i/>
          <w:iCs/>
          <w:szCs w:val="24"/>
        </w:rPr>
        <w:t>туризма в региона. Работата с младежи и в сферата на устойчивото развитие на градовете ни винаги е била и ще бъде сред приоритетите за работа на Обществената фондация.</w:t>
      </w:r>
    </w:p>
    <w:p w:rsidR="00F05F9C" w:rsidRDefault="00F05F9C" w:rsidP="00E70EE4">
      <w:pPr>
        <w:ind w:left="720"/>
        <w:jc w:val="both"/>
        <w:rPr>
          <w:szCs w:val="24"/>
        </w:rPr>
      </w:pPr>
    </w:p>
    <w:p w:rsidR="00785BA0" w:rsidRDefault="00785BA0" w:rsidP="00E70EE4">
      <w:pPr>
        <w:ind w:left="720"/>
        <w:jc w:val="both"/>
        <w:rPr>
          <w:szCs w:val="24"/>
        </w:rPr>
      </w:pPr>
    </w:p>
    <w:p w:rsidR="00785BA0" w:rsidRDefault="00785BA0" w:rsidP="00E70EE4">
      <w:pPr>
        <w:ind w:left="720"/>
        <w:jc w:val="both"/>
        <w:rPr>
          <w:szCs w:val="24"/>
        </w:rPr>
      </w:pPr>
    </w:p>
    <w:p w:rsidR="00785BA0" w:rsidRDefault="00785BA0" w:rsidP="00E70EE4">
      <w:pPr>
        <w:ind w:left="720"/>
        <w:jc w:val="both"/>
        <w:rPr>
          <w:szCs w:val="24"/>
        </w:rPr>
      </w:pPr>
    </w:p>
    <w:p w:rsidR="00785BA0" w:rsidRDefault="00785BA0" w:rsidP="00E70EE4">
      <w:pPr>
        <w:ind w:left="720"/>
        <w:jc w:val="both"/>
        <w:rPr>
          <w:szCs w:val="24"/>
        </w:rPr>
      </w:pPr>
    </w:p>
    <w:p w:rsidR="00785BA0" w:rsidRDefault="00785BA0" w:rsidP="00E70EE4">
      <w:pPr>
        <w:ind w:left="720"/>
        <w:jc w:val="both"/>
        <w:rPr>
          <w:szCs w:val="24"/>
        </w:rPr>
      </w:pPr>
    </w:p>
    <w:p w:rsidR="00785BA0" w:rsidRDefault="00785BA0" w:rsidP="00E70EE4">
      <w:pPr>
        <w:ind w:left="720"/>
        <w:jc w:val="both"/>
        <w:rPr>
          <w:szCs w:val="24"/>
        </w:rPr>
      </w:pPr>
    </w:p>
    <w:p w:rsidR="00785BA0" w:rsidRDefault="00785BA0" w:rsidP="00E70EE4">
      <w:pPr>
        <w:ind w:left="720"/>
        <w:jc w:val="both"/>
        <w:rPr>
          <w:szCs w:val="24"/>
        </w:rPr>
      </w:pPr>
    </w:p>
    <w:p w:rsidR="00785BA0" w:rsidRDefault="00785BA0" w:rsidP="00E70EE4">
      <w:pPr>
        <w:ind w:left="720"/>
        <w:jc w:val="both"/>
        <w:rPr>
          <w:szCs w:val="24"/>
        </w:rPr>
      </w:pPr>
    </w:p>
    <w:p w:rsidR="00E70EE4" w:rsidRPr="00E70EE4" w:rsidRDefault="00E70EE4" w:rsidP="00E70EE4">
      <w:pPr>
        <w:ind w:left="720"/>
        <w:jc w:val="both"/>
        <w:rPr>
          <w:b/>
          <w:sz w:val="32"/>
          <w:szCs w:val="32"/>
          <w:u w:val="single"/>
        </w:rPr>
      </w:pPr>
      <w:r w:rsidRPr="00E70EE4">
        <w:rPr>
          <w:b/>
          <w:sz w:val="32"/>
          <w:szCs w:val="32"/>
          <w:u w:val="single"/>
        </w:rPr>
        <w:lastRenderedPageBreak/>
        <w:t>Бюджет</w:t>
      </w:r>
    </w:p>
    <w:tbl>
      <w:tblPr>
        <w:tblW w:w="10882" w:type="dxa"/>
        <w:tblInd w:w="-8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3701"/>
        <w:gridCol w:w="1807"/>
        <w:gridCol w:w="1260"/>
        <w:gridCol w:w="1278"/>
        <w:gridCol w:w="1276"/>
        <w:gridCol w:w="1560"/>
      </w:tblGrid>
      <w:tr w:rsidR="00E70EE4" w:rsidRPr="003A24E6" w:rsidTr="00672E08">
        <w:trPr>
          <w:trHeight w:val="232"/>
        </w:trPr>
        <w:tc>
          <w:tcPr>
            <w:tcW w:w="3701" w:type="dxa"/>
            <w:vMerge w:val="restart"/>
            <w:tcBorders>
              <w:top w:val="double" w:sz="4" w:space="0" w:color="auto"/>
            </w:tcBorders>
            <w:shd w:val="clear" w:color="auto" w:fill="CCCCCC"/>
            <w:vAlign w:val="center"/>
          </w:tcPr>
          <w:p w:rsidR="00E70EE4" w:rsidRPr="003A24E6" w:rsidRDefault="00E70EE4" w:rsidP="00672E08">
            <w:pPr>
              <w:spacing w:before="120"/>
              <w:rPr>
                <w:rFonts w:ascii="Calibri" w:eastAsia="Times New Roman" w:hAnsi="Calibri" w:cs="Times New Roman"/>
              </w:rPr>
            </w:pPr>
          </w:p>
          <w:p w:rsidR="00E70EE4" w:rsidRPr="003A24E6" w:rsidRDefault="00E70EE4" w:rsidP="00672E08">
            <w:pPr>
              <w:spacing w:before="120"/>
            </w:pPr>
            <w:r w:rsidRPr="003A24E6">
              <w:rPr>
                <w:rFonts w:ascii="Calibri" w:eastAsia="Times New Roman" w:hAnsi="Calibri" w:cs="Times New Roman"/>
                <w:lang w:val="ru-RU"/>
              </w:rPr>
              <w:t xml:space="preserve">       </w:t>
            </w:r>
            <w:r w:rsidRPr="003A24E6">
              <w:rPr>
                <w:rFonts w:ascii="Calibri" w:eastAsia="Times New Roman" w:hAnsi="Calibri" w:cs="Times New Roman"/>
              </w:rPr>
              <w:t>Бюджетни пера</w:t>
            </w:r>
          </w:p>
          <w:p w:rsidR="00E70EE4" w:rsidRPr="003A24E6" w:rsidRDefault="00E70EE4" w:rsidP="00672E08">
            <w:pPr>
              <w:spacing w:before="120"/>
              <w:jc w:val="center"/>
              <w:rPr>
                <w:rFonts w:ascii="Calibri" w:eastAsia="Times New Roman" w:hAnsi="Calibri" w:cs="Times New Roman"/>
                <w:b/>
              </w:rPr>
            </w:pPr>
          </w:p>
          <w:p w:rsidR="00E70EE4" w:rsidRPr="003A24E6" w:rsidRDefault="00E70EE4" w:rsidP="00672E08">
            <w:pPr>
              <w:spacing w:before="120"/>
              <w:jc w:val="center"/>
              <w:rPr>
                <w:rFonts w:ascii="Calibri" w:eastAsia="Times New Roman" w:hAnsi="Calibri" w:cs="Times New Roman"/>
                <w:b/>
              </w:rPr>
            </w:pPr>
          </w:p>
          <w:p w:rsidR="00E70EE4" w:rsidRPr="003A24E6" w:rsidRDefault="00E70EE4" w:rsidP="00672E08">
            <w:pPr>
              <w:spacing w:before="120"/>
              <w:jc w:val="center"/>
              <w:rPr>
                <w:rFonts w:ascii="Calibri" w:eastAsia="Times New Roman" w:hAnsi="Calibri" w:cs="Times New Roman"/>
              </w:rPr>
            </w:pPr>
          </w:p>
        </w:tc>
        <w:tc>
          <w:tcPr>
            <w:tcW w:w="1807" w:type="dxa"/>
            <w:vMerge w:val="restart"/>
            <w:tcBorders>
              <w:top w:val="double" w:sz="4" w:space="0" w:color="auto"/>
              <w:bottom w:val="single" w:sz="6" w:space="0" w:color="auto"/>
              <w:right w:val="double" w:sz="4" w:space="0" w:color="auto"/>
            </w:tcBorders>
            <w:shd w:val="clear" w:color="auto" w:fill="CCCCCC"/>
            <w:vAlign w:val="center"/>
          </w:tcPr>
          <w:p w:rsidR="00E70EE4" w:rsidRPr="003A24E6" w:rsidRDefault="00E70EE4" w:rsidP="00672E08">
            <w:pPr>
              <w:spacing w:before="120"/>
              <w:jc w:val="center"/>
              <w:rPr>
                <w:rFonts w:ascii="Calibri" w:eastAsia="Times New Roman" w:hAnsi="Calibri" w:cs="Times New Roman"/>
                <w:b/>
              </w:rPr>
            </w:pPr>
          </w:p>
          <w:p w:rsidR="00E70EE4" w:rsidRPr="003A24E6" w:rsidRDefault="00E70EE4" w:rsidP="00672E08">
            <w:pPr>
              <w:spacing w:before="120"/>
              <w:jc w:val="center"/>
              <w:rPr>
                <w:rFonts w:ascii="Calibri" w:eastAsia="Times New Roman" w:hAnsi="Calibri" w:cs="Times New Roman"/>
              </w:rPr>
            </w:pPr>
            <w:r w:rsidRPr="003A24E6">
              <w:rPr>
                <w:rFonts w:ascii="Calibri" w:eastAsia="Times New Roman" w:hAnsi="Calibri" w:cs="Times New Roman"/>
              </w:rPr>
              <w:t>Обща стойност</w:t>
            </w:r>
          </w:p>
        </w:tc>
        <w:tc>
          <w:tcPr>
            <w:tcW w:w="5374" w:type="dxa"/>
            <w:gridSpan w:val="4"/>
            <w:tcBorders>
              <w:top w:val="double" w:sz="4" w:space="0" w:color="auto"/>
              <w:bottom w:val="single" w:sz="6" w:space="0" w:color="auto"/>
            </w:tcBorders>
            <w:shd w:val="clear" w:color="auto" w:fill="CCCCCC"/>
          </w:tcPr>
          <w:p w:rsidR="00E70EE4" w:rsidRPr="003A24E6" w:rsidRDefault="00E70EE4" w:rsidP="00672E08">
            <w:pPr>
              <w:spacing w:before="120"/>
              <w:jc w:val="center"/>
              <w:rPr>
                <w:rFonts w:ascii="Calibri" w:eastAsia="Times New Roman" w:hAnsi="Calibri" w:cs="Times New Roman"/>
              </w:rPr>
            </w:pPr>
            <w:r w:rsidRPr="003A24E6">
              <w:rPr>
                <w:rFonts w:ascii="Calibri" w:eastAsia="Times New Roman" w:hAnsi="Calibri" w:cs="Times New Roman"/>
              </w:rPr>
              <w:t>Източници на финансиране</w:t>
            </w:r>
          </w:p>
        </w:tc>
      </w:tr>
      <w:tr w:rsidR="00E70EE4" w:rsidRPr="003A24E6" w:rsidTr="00672E08">
        <w:trPr>
          <w:trHeight w:val="231"/>
        </w:trPr>
        <w:tc>
          <w:tcPr>
            <w:tcW w:w="3701" w:type="dxa"/>
            <w:vMerge/>
            <w:tcBorders>
              <w:bottom w:val="single" w:sz="6" w:space="0" w:color="auto"/>
            </w:tcBorders>
            <w:shd w:val="clear" w:color="auto" w:fill="CCCCCC"/>
            <w:vAlign w:val="center"/>
          </w:tcPr>
          <w:p w:rsidR="00E70EE4" w:rsidRPr="003A24E6" w:rsidRDefault="00E70EE4" w:rsidP="00672E08">
            <w:pPr>
              <w:spacing w:before="120"/>
              <w:jc w:val="center"/>
              <w:rPr>
                <w:rFonts w:ascii="Calibri" w:eastAsia="Times New Roman" w:hAnsi="Calibri" w:cs="Times New Roman"/>
              </w:rPr>
            </w:pPr>
          </w:p>
        </w:tc>
        <w:tc>
          <w:tcPr>
            <w:tcW w:w="1807" w:type="dxa"/>
            <w:vMerge/>
            <w:tcBorders>
              <w:top w:val="single" w:sz="6" w:space="0" w:color="auto"/>
              <w:bottom w:val="single" w:sz="6" w:space="0" w:color="auto"/>
              <w:right w:val="double" w:sz="4" w:space="0" w:color="auto"/>
            </w:tcBorders>
            <w:shd w:val="clear" w:color="auto" w:fill="CCCCCC"/>
            <w:vAlign w:val="center"/>
          </w:tcPr>
          <w:p w:rsidR="00E70EE4" w:rsidRPr="003A24E6" w:rsidRDefault="00E70EE4" w:rsidP="00672E08">
            <w:pPr>
              <w:spacing w:before="120"/>
              <w:jc w:val="center"/>
              <w:rPr>
                <w:rFonts w:ascii="Calibri" w:eastAsia="Times New Roman" w:hAnsi="Calibri" w:cs="Times New Roman"/>
              </w:rPr>
            </w:pPr>
          </w:p>
        </w:tc>
        <w:tc>
          <w:tcPr>
            <w:tcW w:w="1260" w:type="dxa"/>
            <w:tcBorders>
              <w:top w:val="single" w:sz="6" w:space="0" w:color="auto"/>
              <w:left w:val="double" w:sz="4" w:space="0" w:color="auto"/>
              <w:bottom w:val="single" w:sz="6" w:space="0" w:color="auto"/>
              <w:right w:val="single" w:sz="6" w:space="0" w:color="auto"/>
            </w:tcBorders>
            <w:shd w:val="clear" w:color="auto" w:fill="CCCCCC"/>
            <w:vAlign w:val="center"/>
          </w:tcPr>
          <w:p w:rsidR="00E70EE4" w:rsidRPr="003A24E6" w:rsidRDefault="00E70EE4" w:rsidP="00672E08">
            <w:pPr>
              <w:spacing w:before="120"/>
              <w:jc w:val="center"/>
              <w:rPr>
                <w:rFonts w:ascii="Calibri" w:eastAsia="Times New Roman" w:hAnsi="Calibri" w:cs="Times New Roman"/>
                <w:b/>
              </w:rPr>
            </w:pPr>
          </w:p>
          <w:p w:rsidR="00E70EE4" w:rsidRPr="003A24E6" w:rsidRDefault="00E70EE4" w:rsidP="00672E08">
            <w:pPr>
              <w:spacing w:before="120"/>
              <w:jc w:val="center"/>
              <w:rPr>
                <w:rFonts w:ascii="Calibri" w:eastAsia="Times New Roman" w:hAnsi="Calibri" w:cs="Times New Roman"/>
              </w:rPr>
            </w:pPr>
            <w:r w:rsidRPr="003A24E6">
              <w:rPr>
                <w:rFonts w:ascii="Calibri" w:eastAsia="Times New Roman" w:hAnsi="Calibri" w:cs="Times New Roman"/>
              </w:rPr>
              <w:t xml:space="preserve">ФРГИ </w:t>
            </w:r>
          </w:p>
          <w:p w:rsidR="00E70EE4" w:rsidRPr="003A24E6" w:rsidRDefault="00E70EE4" w:rsidP="00672E08">
            <w:pPr>
              <w:spacing w:before="120"/>
              <w:jc w:val="center"/>
              <w:rPr>
                <w:rFonts w:ascii="Calibri" w:eastAsia="Times New Roman" w:hAnsi="Calibri" w:cs="Times New Roman"/>
              </w:rPr>
            </w:pPr>
            <w:r w:rsidRPr="003A24E6">
              <w:rPr>
                <w:rFonts w:ascii="Calibri" w:eastAsia="Times New Roman" w:hAnsi="Calibri" w:cs="Times New Roman"/>
              </w:rPr>
              <w:t>(в лева)</w:t>
            </w:r>
          </w:p>
        </w:tc>
        <w:tc>
          <w:tcPr>
            <w:tcW w:w="1278" w:type="dxa"/>
            <w:tcBorders>
              <w:top w:val="single" w:sz="6" w:space="0" w:color="auto"/>
              <w:left w:val="single" w:sz="6" w:space="0" w:color="auto"/>
              <w:bottom w:val="single" w:sz="6" w:space="0" w:color="auto"/>
              <w:right w:val="single" w:sz="6" w:space="0" w:color="auto"/>
            </w:tcBorders>
            <w:shd w:val="clear" w:color="auto" w:fill="CCCCCC"/>
          </w:tcPr>
          <w:p w:rsidR="00E70EE4" w:rsidRPr="003A24E6" w:rsidRDefault="00E70EE4" w:rsidP="00672E08">
            <w:pPr>
              <w:spacing w:before="120"/>
              <w:jc w:val="center"/>
              <w:rPr>
                <w:rFonts w:ascii="Calibri" w:eastAsia="Times New Roman" w:hAnsi="Calibri" w:cs="Times New Roman"/>
              </w:rPr>
            </w:pPr>
            <w:r w:rsidRPr="003A24E6">
              <w:rPr>
                <w:rFonts w:ascii="Calibri" w:eastAsia="Times New Roman" w:hAnsi="Calibri" w:cs="Times New Roman"/>
              </w:rPr>
              <w:t>Собствен принос</w:t>
            </w:r>
          </w:p>
          <w:p w:rsidR="00E70EE4" w:rsidRPr="003A24E6" w:rsidRDefault="00E70EE4" w:rsidP="00672E08">
            <w:pPr>
              <w:spacing w:before="120"/>
              <w:jc w:val="center"/>
              <w:rPr>
                <w:rFonts w:ascii="Calibri" w:eastAsia="Times New Roman" w:hAnsi="Calibri" w:cs="Times New Roman"/>
              </w:rPr>
            </w:pPr>
            <w:r w:rsidRPr="003A24E6">
              <w:rPr>
                <w:rFonts w:ascii="Calibri" w:eastAsia="Times New Roman" w:hAnsi="Calibri" w:cs="Times New Roman"/>
              </w:rPr>
              <w:t>(в лева)</w:t>
            </w:r>
          </w:p>
        </w:tc>
        <w:tc>
          <w:tcPr>
            <w:tcW w:w="1276" w:type="dxa"/>
            <w:tcBorders>
              <w:top w:val="single" w:sz="6" w:space="0" w:color="auto"/>
              <w:left w:val="single" w:sz="6" w:space="0" w:color="auto"/>
              <w:bottom w:val="single" w:sz="6" w:space="0" w:color="auto"/>
              <w:right w:val="single" w:sz="6" w:space="0" w:color="auto"/>
            </w:tcBorders>
            <w:shd w:val="clear" w:color="auto" w:fill="CCCCCC"/>
            <w:vAlign w:val="center"/>
          </w:tcPr>
          <w:p w:rsidR="00E70EE4" w:rsidRPr="003A24E6" w:rsidRDefault="00E70EE4" w:rsidP="00672E08">
            <w:pPr>
              <w:spacing w:before="120"/>
              <w:jc w:val="center"/>
              <w:rPr>
                <w:rFonts w:ascii="Calibri" w:eastAsia="Times New Roman" w:hAnsi="Calibri" w:cs="Times New Roman"/>
              </w:rPr>
            </w:pPr>
            <w:r w:rsidRPr="003A24E6">
              <w:rPr>
                <w:rFonts w:ascii="Calibri" w:eastAsia="Times New Roman" w:hAnsi="Calibri" w:cs="Times New Roman"/>
              </w:rPr>
              <w:t xml:space="preserve">Не-финансов принос </w:t>
            </w:r>
          </w:p>
          <w:p w:rsidR="00E70EE4" w:rsidRPr="003A24E6" w:rsidRDefault="00E70EE4" w:rsidP="00672E08">
            <w:pPr>
              <w:spacing w:before="120"/>
              <w:jc w:val="center"/>
              <w:rPr>
                <w:rFonts w:ascii="Calibri" w:eastAsia="Times New Roman" w:hAnsi="Calibri" w:cs="Times New Roman"/>
              </w:rPr>
            </w:pPr>
            <w:r w:rsidRPr="003A24E6">
              <w:rPr>
                <w:rFonts w:ascii="Calibri" w:eastAsia="Times New Roman" w:hAnsi="Calibri" w:cs="Times New Roman"/>
              </w:rPr>
              <w:t>(в лева)</w:t>
            </w:r>
          </w:p>
        </w:tc>
        <w:tc>
          <w:tcPr>
            <w:tcW w:w="1560" w:type="dxa"/>
            <w:tcBorders>
              <w:top w:val="single" w:sz="6" w:space="0" w:color="auto"/>
              <w:left w:val="single" w:sz="6" w:space="0" w:color="auto"/>
              <w:bottom w:val="single" w:sz="6" w:space="0" w:color="auto"/>
              <w:right w:val="double" w:sz="4" w:space="0" w:color="auto"/>
            </w:tcBorders>
            <w:shd w:val="clear" w:color="auto" w:fill="CCCCCC"/>
            <w:vAlign w:val="center"/>
          </w:tcPr>
          <w:p w:rsidR="00E70EE4" w:rsidRPr="003A24E6" w:rsidRDefault="00E70EE4" w:rsidP="00672E08">
            <w:pPr>
              <w:spacing w:before="120"/>
              <w:rPr>
                <w:rFonts w:ascii="Calibri" w:eastAsia="Times New Roman" w:hAnsi="Calibri" w:cs="Times New Roman"/>
                <w:b/>
              </w:rPr>
            </w:pPr>
          </w:p>
          <w:p w:rsidR="00E70EE4" w:rsidRPr="003A24E6" w:rsidRDefault="00E70EE4" w:rsidP="00672E08">
            <w:pPr>
              <w:spacing w:before="120"/>
              <w:jc w:val="center"/>
              <w:rPr>
                <w:rFonts w:ascii="Calibri" w:eastAsia="Times New Roman" w:hAnsi="Calibri" w:cs="Times New Roman"/>
              </w:rPr>
            </w:pPr>
            <w:r w:rsidRPr="003A24E6">
              <w:rPr>
                <w:rFonts w:ascii="Calibri" w:eastAsia="Times New Roman" w:hAnsi="Calibri" w:cs="Times New Roman"/>
              </w:rPr>
              <w:t xml:space="preserve">Източник на нефинансов принос </w:t>
            </w:r>
          </w:p>
        </w:tc>
      </w:tr>
      <w:tr w:rsidR="00E70EE4" w:rsidRPr="00065718" w:rsidTr="00672E08">
        <w:tc>
          <w:tcPr>
            <w:tcW w:w="3701" w:type="dxa"/>
            <w:tcBorders>
              <w:top w:val="single" w:sz="6" w:space="0" w:color="auto"/>
              <w:bottom w:val="single" w:sz="6" w:space="0" w:color="auto"/>
            </w:tcBorders>
          </w:tcPr>
          <w:p w:rsidR="00E70EE4" w:rsidRPr="00065718" w:rsidRDefault="00E70EE4" w:rsidP="00672E08">
            <w:pPr>
              <w:spacing w:before="120"/>
              <w:jc w:val="center"/>
              <w:rPr>
                <w:rFonts w:ascii="Calibri" w:eastAsia="Times New Roman" w:hAnsi="Calibri" w:cs="Times New Roman"/>
                <w:b/>
                <w:bCs/>
              </w:rPr>
            </w:pPr>
            <w:r w:rsidRPr="003A24E6">
              <w:rPr>
                <w:rFonts w:ascii="Calibri" w:eastAsia="Times New Roman" w:hAnsi="Calibri" w:cs="Times New Roman"/>
              </w:rPr>
              <w:t>1. Разходи за управление</w:t>
            </w:r>
            <w:r>
              <w:rPr>
                <w:rFonts w:ascii="Calibri" w:eastAsia="Times New Roman" w:hAnsi="Calibri" w:cs="Times New Roman"/>
              </w:rPr>
              <w:t xml:space="preserve"> – програмно и финансово,</w:t>
            </w:r>
            <w:r>
              <w:rPr>
                <w:rFonts w:ascii="Calibri" w:eastAsia="Times New Roman" w:hAnsi="Calibri" w:cs="Times New Roman"/>
                <w:lang w:val="ru-RU"/>
              </w:rPr>
              <w:t xml:space="preserve"> вкл. транспортни р-ди за мониторинг; популяризация на проекта и резултатите</w:t>
            </w:r>
          </w:p>
        </w:tc>
        <w:tc>
          <w:tcPr>
            <w:tcW w:w="1807" w:type="dxa"/>
            <w:tcBorders>
              <w:top w:val="single" w:sz="6" w:space="0" w:color="auto"/>
              <w:bottom w:val="single" w:sz="6" w:space="0" w:color="auto"/>
              <w:right w:val="double" w:sz="4" w:space="0" w:color="auto"/>
            </w:tcBorders>
          </w:tcPr>
          <w:p w:rsidR="00E70EE4" w:rsidRPr="00A77E6F" w:rsidRDefault="00E70EE4" w:rsidP="00672E08">
            <w:pPr>
              <w:spacing w:before="120"/>
              <w:jc w:val="center"/>
              <w:rPr>
                <w:rFonts w:ascii="Calibri" w:eastAsia="Times New Roman" w:hAnsi="Calibri" w:cs="Times New Roman"/>
                <w:b/>
                <w:bCs/>
              </w:rPr>
            </w:pPr>
            <w:r>
              <w:rPr>
                <w:b/>
                <w:bCs/>
              </w:rPr>
              <w:t>8600</w:t>
            </w:r>
          </w:p>
        </w:tc>
        <w:tc>
          <w:tcPr>
            <w:tcW w:w="1260" w:type="dxa"/>
            <w:tcBorders>
              <w:top w:val="single" w:sz="6" w:space="0" w:color="auto"/>
              <w:left w:val="double" w:sz="4" w:space="0" w:color="auto"/>
              <w:bottom w:val="single" w:sz="6" w:space="0" w:color="auto"/>
            </w:tcBorders>
          </w:tcPr>
          <w:p w:rsidR="00E70EE4" w:rsidRPr="00065718" w:rsidRDefault="00E70EE4" w:rsidP="00672E08">
            <w:pPr>
              <w:spacing w:before="120"/>
              <w:jc w:val="center"/>
              <w:rPr>
                <w:rFonts w:ascii="Calibri" w:eastAsia="Times New Roman" w:hAnsi="Calibri" w:cs="Times New Roman"/>
                <w:b/>
                <w:bCs/>
              </w:rPr>
            </w:pPr>
            <w:r>
              <w:rPr>
                <w:b/>
                <w:bCs/>
              </w:rPr>
              <w:t>7 600</w:t>
            </w:r>
          </w:p>
        </w:tc>
        <w:tc>
          <w:tcPr>
            <w:tcW w:w="1278" w:type="dxa"/>
            <w:tcBorders>
              <w:top w:val="single" w:sz="6" w:space="0" w:color="auto"/>
              <w:bottom w:val="single" w:sz="6" w:space="0" w:color="auto"/>
            </w:tcBorders>
          </w:tcPr>
          <w:p w:rsidR="00E70EE4" w:rsidRPr="00065718" w:rsidRDefault="00E70EE4" w:rsidP="00672E08">
            <w:pPr>
              <w:spacing w:before="120"/>
              <w:jc w:val="center"/>
              <w:rPr>
                <w:rFonts w:ascii="Calibri" w:eastAsia="Times New Roman" w:hAnsi="Calibri" w:cs="Times New Roman"/>
                <w:b/>
                <w:bCs/>
              </w:rPr>
            </w:pPr>
            <w:r>
              <w:rPr>
                <w:b/>
                <w:bCs/>
              </w:rPr>
              <w:t>1 000</w:t>
            </w:r>
          </w:p>
        </w:tc>
        <w:tc>
          <w:tcPr>
            <w:tcW w:w="1276" w:type="dxa"/>
            <w:tcBorders>
              <w:top w:val="single" w:sz="6" w:space="0" w:color="auto"/>
              <w:bottom w:val="single" w:sz="6" w:space="0" w:color="auto"/>
            </w:tcBorders>
          </w:tcPr>
          <w:p w:rsidR="00E70EE4" w:rsidRPr="00065718" w:rsidRDefault="00ED0B45" w:rsidP="00672E08">
            <w:pPr>
              <w:spacing w:before="120"/>
              <w:jc w:val="center"/>
              <w:rPr>
                <w:rFonts w:ascii="Calibri" w:eastAsia="Times New Roman" w:hAnsi="Calibri" w:cs="Times New Roman"/>
                <w:b/>
                <w:bCs/>
              </w:rPr>
            </w:pPr>
            <w:r>
              <w:rPr>
                <w:rFonts w:ascii="Calibri" w:eastAsia="Times New Roman" w:hAnsi="Calibri" w:cs="Times New Roman"/>
                <w:b/>
                <w:bCs/>
              </w:rPr>
              <w:t>2000</w:t>
            </w:r>
          </w:p>
        </w:tc>
        <w:tc>
          <w:tcPr>
            <w:tcW w:w="1560" w:type="dxa"/>
            <w:tcBorders>
              <w:top w:val="single" w:sz="6" w:space="0" w:color="auto"/>
              <w:bottom w:val="single" w:sz="6" w:space="0" w:color="auto"/>
              <w:right w:val="double" w:sz="4" w:space="0" w:color="auto"/>
            </w:tcBorders>
          </w:tcPr>
          <w:p w:rsidR="00E70EE4" w:rsidRPr="00065718" w:rsidRDefault="00ED0B45" w:rsidP="00672E08">
            <w:pPr>
              <w:spacing w:before="120"/>
              <w:rPr>
                <w:rFonts w:ascii="Calibri" w:eastAsia="Times New Roman" w:hAnsi="Calibri" w:cs="Times New Roman"/>
                <w:b/>
                <w:bCs/>
              </w:rPr>
            </w:pPr>
            <w:r>
              <w:rPr>
                <w:rFonts w:ascii="Calibri" w:eastAsia="Times New Roman" w:hAnsi="Calibri" w:cs="Times New Roman"/>
                <w:b/>
                <w:bCs/>
              </w:rPr>
              <w:t>Доброволен труд</w:t>
            </w:r>
          </w:p>
        </w:tc>
      </w:tr>
      <w:tr w:rsidR="00E70EE4" w:rsidRPr="00065718" w:rsidTr="00672E08">
        <w:tc>
          <w:tcPr>
            <w:tcW w:w="3701" w:type="dxa"/>
            <w:tcBorders>
              <w:top w:val="single" w:sz="6" w:space="0" w:color="auto"/>
              <w:bottom w:val="single" w:sz="6" w:space="0" w:color="auto"/>
            </w:tcBorders>
          </w:tcPr>
          <w:p w:rsidR="00E70EE4" w:rsidRPr="00065718" w:rsidRDefault="00E70EE4" w:rsidP="00672E08">
            <w:pPr>
              <w:spacing w:before="120"/>
              <w:jc w:val="center"/>
              <w:rPr>
                <w:rFonts w:ascii="Calibri" w:eastAsia="Times New Roman" w:hAnsi="Calibri" w:cs="Times New Roman"/>
                <w:b/>
                <w:bCs/>
              </w:rPr>
            </w:pPr>
            <w:r>
              <w:rPr>
                <w:rFonts w:ascii="Calibri" w:eastAsia="Times New Roman" w:hAnsi="Calibri" w:cs="Times New Roman"/>
              </w:rPr>
              <w:t>2</w:t>
            </w:r>
            <w:r w:rsidRPr="003A24E6">
              <w:rPr>
                <w:rFonts w:ascii="Calibri" w:eastAsia="Times New Roman" w:hAnsi="Calibri" w:cs="Times New Roman"/>
              </w:rPr>
              <w:t xml:space="preserve">. </w:t>
            </w:r>
            <w:r>
              <w:t>Разходи за информационни/рекламни материали и дейности</w:t>
            </w:r>
          </w:p>
        </w:tc>
        <w:tc>
          <w:tcPr>
            <w:tcW w:w="1807" w:type="dxa"/>
            <w:tcBorders>
              <w:top w:val="single" w:sz="6" w:space="0" w:color="auto"/>
              <w:bottom w:val="single" w:sz="6" w:space="0" w:color="auto"/>
              <w:right w:val="double" w:sz="4" w:space="0" w:color="auto"/>
            </w:tcBorders>
          </w:tcPr>
          <w:p w:rsidR="00E70EE4" w:rsidRPr="00725670" w:rsidRDefault="00E70EE4" w:rsidP="00672E08">
            <w:pPr>
              <w:spacing w:before="120"/>
              <w:jc w:val="center"/>
              <w:rPr>
                <w:rFonts w:ascii="Calibri" w:eastAsia="Times New Roman" w:hAnsi="Calibri" w:cs="Times New Roman"/>
                <w:b/>
                <w:bCs/>
              </w:rPr>
            </w:pPr>
            <w:r>
              <w:rPr>
                <w:rFonts w:ascii="Calibri" w:eastAsia="Times New Roman" w:hAnsi="Calibri" w:cs="Times New Roman"/>
                <w:b/>
                <w:bCs/>
              </w:rPr>
              <w:t>3600</w:t>
            </w:r>
          </w:p>
          <w:p w:rsidR="00E70EE4" w:rsidRPr="00065718" w:rsidRDefault="00E70EE4" w:rsidP="00672E08">
            <w:pPr>
              <w:rPr>
                <w:rFonts w:ascii="Calibri" w:eastAsia="Times New Roman" w:hAnsi="Calibri" w:cs="Times New Roman"/>
                <w:b/>
                <w:bCs/>
              </w:rPr>
            </w:pPr>
          </w:p>
        </w:tc>
        <w:tc>
          <w:tcPr>
            <w:tcW w:w="1260" w:type="dxa"/>
            <w:tcBorders>
              <w:top w:val="single" w:sz="6" w:space="0" w:color="auto"/>
              <w:left w:val="double" w:sz="4" w:space="0" w:color="auto"/>
              <w:bottom w:val="single" w:sz="6" w:space="0" w:color="auto"/>
            </w:tcBorders>
          </w:tcPr>
          <w:p w:rsidR="00E70EE4" w:rsidRPr="00876142" w:rsidRDefault="00E70EE4" w:rsidP="00672E08">
            <w:pPr>
              <w:spacing w:before="120"/>
              <w:jc w:val="center"/>
              <w:rPr>
                <w:rFonts w:ascii="Calibri" w:eastAsia="Times New Roman" w:hAnsi="Calibri" w:cs="Times New Roman"/>
                <w:b/>
                <w:bCs/>
              </w:rPr>
            </w:pPr>
            <w:r>
              <w:rPr>
                <w:rFonts w:ascii="Calibri" w:eastAsia="Times New Roman" w:hAnsi="Calibri" w:cs="Times New Roman"/>
                <w:b/>
                <w:bCs/>
              </w:rPr>
              <w:t>3 300</w:t>
            </w:r>
          </w:p>
        </w:tc>
        <w:tc>
          <w:tcPr>
            <w:tcW w:w="1278" w:type="dxa"/>
            <w:tcBorders>
              <w:top w:val="single" w:sz="6" w:space="0" w:color="auto"/>
              <w:bottom w:val="single" w:sz="6" w:space="0" w:color="auto"/>
            </w:tcBorders>
          </w:tcPr>
          <w:p w:rsidR="00E70EE4" w:rsidRPr="00876142" w:rsidRDefault="00E70EE4" w:rsidP="00672E08">
            <w:pPr>
              <w:spacing w:before="120"/>
              <w:jc w:val="center"/>
              <w:rPr>
                <w:rFonts w:ascii="Calibri" w:eastAsia="Times New Roman" w:hAnsi="Calibri" w:cs="Times New Roman"/>
                <w:b/>
                <w:bCs/>
              </w:rPr>
            </w:pPr>
            <w:r>
              <w:rPr>
                <w:rFonts w:ascii="Calibri" w:eastAsia="Times New Roman" w:hAnsi="Calibri" w:cs="Times New Roman"/>
                <w:b/>
                <w:bCs/>
              </w:rPr>
              <w:t>300</w:t>
            </w:r>
          </w:p>
        </w:tc>
        <w:tc>
          <w:tcPr>
            <w:tcW w:w="1276" w:type="dxa"/>
            <w:tcBorders>
              <w:top w:val="single" w:sz="6" w:space="0" w:color="auto"/>
              <w:bottom w:val="single" w:sz="6" w:space="0" w:color="auto"/>
            </w:tcBorders>
          </w:tcPr>
          <w:p w:rsidR="00E70EE4" w:rsidRPr="00A77E6F" w:rsidRDefault="00E70EE4" w:rsidP="00672E08">
            <w:pPr>
              <w:spacing w:before="120"/>
              <w:jc w:val="center"/>
              <w:rPr>
                <w:rFonts w:ascii="Calibri" w:eastAsia="Times New Roman" w:hAnsi="Calibri" w:cs="Times New Roman"/>
                <w:b/>
                <w:bCs/>
              </w:rPr>
            </w:pPr>
          </w:p>
        </w:tc>
        <w:tc>
          <w:tcPr>
            <w:tcW w:w="1560" w:type="dxa"/>
            <w:tcBorders>
              <w:top w:val="single" w:sz="6" w:space="0" w:color="auto"/>
              <w:bottom w:val="single" w:sz="6" w:space="0" w:color="auto"/>
            </w:tcBorders>
          </w:tcPr>
          <w:p w:rsidR="00E70EE4" w:rsidRPr="00065718" w:rsidRDefault="00E70EE4" w:rsidP="00672E08">
            <w:pPr>
              <w:spacing w:before="120"/>
              <w:rPr>
                <w:rFonts w:ascii="Calibri" w:eastAsia="Times New Roman" w:hAnsi="Calibri" w:cs="Times New Roman"/>
                <w:b/>
                <w:bCs/>
              </w:rPr>
            </w:pPr>
          </w:p>
        </w:tc>
      </w:tr>
      <w:tr w:rsidR="00ED0B45" w:rsidRPr="00065718" w:rsidTr="00672E08">
        <w:tc>
          <w:tcPr>
            <w:tcW w:w="3701" w:type="dxa"/>
            <w:tcBorders>
              <w:top w:val="single" w:sz="6" w:space="0" w:color="auto"/>
              <w:bottom w:val="single" w:sz="6" w:space="0" w:color="auto"/>
            </w:tcBorders>
          </w:tcPr>
          <w:p w:rsidR="00ED0B45" w:rsidRPr="00065718" w:rsidRDefault="00ED0B45" w:rsidP="00672E08">
            <w:pPr>
              <w:spacing w:before="120"/>
              <w:jc w:val="center"/>
              <w:rPr>
                <w:rFonts w:ascii="Calibri" w:eastAsia="Times New Roman" w:hAnsi="Calibri" w:cs="Times New Roman"/>
                <w:b/>
                <w:bCs/>
              </w:rPr>
            </w:pPr>
            <w:r>
              <w:rPr>
                <w:rFonts w:ascii="Calibri" w:eastAsia="Times New Roman" w:hAnsi="Calibri" w:cs="Times New Roman"/>
                <w:b/>
                <w:bCs/>
              </w:rPr>
              <w:t>3.Разходи за осъществяване на проекта</w:t>
            </w:r>
          </w:p>
        </w:tc>
        <w:tc>
          <w:tcPr>
            <w:tcW w:w="1807" w:type="dxa"/>
            <w:tcBorders>
              <w:top w:val="single" w:sz="6" w:space="0" w:color="auto"/>
              <w:bottom w:val="single" w:sz="6" w:space="0" w:color="auto"/>
              <w:right w:val="double" w:sz="4" w:space="0" w:color="auto"/>
            </w:tcBorders>
          </w:tcPr>
          <w:p w:rsidR="00ED0B45" w:rsidRPr="00065718" w:rsidRDefault="00ED0B45" w:rsidP="00672E08">
            <w:pPr>
              <w:spacing w:before="120"/>
              <w:jc w:val="center"/>
              <w:rPr>
                <w:rFonts w:ascii="Calibri" w:eastAsia="Times New Roman" w:hAnsi="Calibri" w:cs="Times New Roman"/>
                <w:b/>
                <w:bCs/>
              </w:rPr>
            </w:pPr>
            <w:r>
              <w:rPr>
                <w:rFonts w:ascii="Calibri" w:eastAsia="Times New Roman" w:hAnsi="Calibri" w:cs="Times New Roman"/>
                <w:b/>
                <w:bCs/>
              </w:rPr>
              <w:t>31800</w:t>
            </w:r>
          </w:p>
        </w:tc>
        <w:tc>
          <w:tcPr>
            <w:tcW w:w="1260" w:type="dxa"/>
            <w:tcBorders>
              <w:top w:val="single" w:sz="6" w:space="0" w:color="auto"/>
              <w:left w:val="double" w:sz="4" w:space="0" w:color="auto"/>
              <w:bottom w:val="single" w:sz="6" w:space="0" w:color="auto"/>
            </w:tcBorders>
          </w:tcPr>
          <w:p w:rsidR="00ED0B45" w:rsidRPr="00065718" w:rsidRDefault="00ED0B45" w:rsidP="00672E08">
            <w:pPr>
              <w:spacing w:before="120"/>
              <w:jc w:val="center"/>
              <w:rPr>
                <w:rFonts w:ascii="Calibri" w:eastAsia="Times New Roman" w:hAnsi="Calibri" w:cs="Times New Roman"/>
                <w:b/>
                <w:bCs/>
              </w:rPr>
            </w:pPr>
            <w:r>
              <w:rPr>
                <w:rFonts w:ascii="Calibri" w:eastAsia="Times New Roman" w:hAnsi="Calibri" w:cs="Times New Roman"/>
                <w:b/>
                <w:bCs/>
              </w:rPr>
              <w:t>11 100</w:t>
            </w:r>
          </w:p>
        </w:tc>
        <w:tc>
          <w:tcPr>
            <w:tcW w:w="1278" w:type="dxa"/>
            <w:tcBorders>
              <w:top w:val="single" w:sz="6" w:space="0" w:color="auto"/>
              <w:bottom w:val="single" w:sz="6" w:space="0" w:color="auto"/>
            </w:tcBorders>
          </w:tcPr>
          <w:p w:rsidR="00ED0B45" w:rsidRPr="00065718" w:rsidRDefault="00ED0B45" w:rsidP="00672E08">
            <w:pPr>
              <w:spacing w:before="120"/>
              <w:jc w:val="center"/>
              <w:rPr>
                <w:rFonts w:ascii="Calibri" w:eastAsia="Times New Roman" w:hAnsi="Calibri" w:cs="Times New Roman"/>
                <w:b/>
                <w:bCs/>
              </w:rPr>
            </w:pPr>
            <w:r>
              <w:rPr>
                <w:rFonts w:ascii="Calibri" w:eastAsia="Times New Roman" w:hAnsi="Calibri" w:cs="Times New Roman"/>
                <w:b/>
                <w:bCs/>
              </w:rPr>
              <w:t>20 700</w:t>
            </w:r>
          </w:p>
        </w:tc>
        <w:tc>
          <w:tcPr>
            <w:tcW w:w="1276" w:type="dxa"/>
            <w:tcBorders>
              <w:top w:val="single" w:sz="6" w:space="0" w:color="auto"/>
              <w:bottom w:val="single" w:sz="6" w:space="0" w:color="auto"/>
            </w:tcBorders>
          </w:tcPr>
          <w:p w:rsidR="00ED0B45" w:rsidRPr="00ED0B45" w:rsidRDefault="00ED0B45" w:rsidP="00672E08">
            <w:pPr>
              <w:spacing w:before="120"/>
              <w:jc w:val="center"/>
              <w:rPr>
                <w:rFonts w:ascii="Calibri" w:eastAsia="Times New Roman" w:hAnsi="Calibri" w:cs="Times New Roman"/>
                <w:b/>
                <w:bCs/>
              </w:rPr>
            </w:pPr>
            <w:r>
              <w:rPr>
                <w:rFonts w:ascii="Calibri" w:eastAsia="Times New Roman" w:hAnsi="Calibri" w:cs="Times New Roman"/>
                <w:b/>
                <w:bCs/>
              </w:rPr>
              <w:t>3000</w:t>
            </w:r>
          </w:p>
        </w:tc>
        <w:tc>
          <w:tcPr>
            <w:tcW w:w="1560" w:type="dxa"/>
            <w:tcBorders>
              <w:top w:val="single" w:sz="6" w:space="0" w:color="auto"/>
              <w:bottom w:val="single" w:sz="6" w:space="0" w:color="auto"/>
            </w:tcBorders>
          </w:tcPr>
          <w:p w:rsidR="00ED0B45" w:rsidRPr="00065718" w:rsidRDefault="00ED0B45" w:rsidP="00672E08">
            <w:pPr>
              <w:spacing w:before="120"/>
              <w:rPr>
                <w:rFonts w:ascii="Calibri" w:eastAsia="Times New Roman" w:hAnsi="Calibri" w:cs="Times New Roman"/>
                <w:b/>
                <w:bCs/>
              </w:rPr>
            </w:pPr>
            <w:r>
              <w:rPr>
                <w:rFonts w:ascii="Calibri" w:eastAsia="Times New Roman" w:hAnsi="Calibri" w:cs="Times New Roman"/>
                <w:b/>
                <w:bCs/>
              </w:rPr>
              <w:t>Доброволен труд</w:t>
            </w:r>
          </w:p>
        </w:tc>
      </w:tr>
      <w:tr w:rsidR="00ED0B45" w:rsidRPr="00065718" w:rsidTr="00672E08">
        <w:tc>
          <w:tcPr>
            <w:tcW w:w="3701" w:type="dxa"/>
            <w:tcBorders>
              <w:top w:val="single" w:sz="6" w:space="0" w:color="auto"/>
              <w:bottom w:val="single" w:sz="6" w:space="0" w:color="auto"/>
            </w:tcBorders>
          </w:tcPr>
          <w:p w:rsidR="00ED0B45" w:rsidRPr="00065718" w:rsidRDefault="00ED0B45" w:rsidP="00672E08">
            <w:pPr>
              <w:spacing w:before="120"/>
              <w:jc w:val="center"/>
              <w:rPr>
                <w:rFonts w:ascii="Calibri" w:eastAsia="Times New Roman" w:hAnsi="Calibri" w:cs="Times New Roman"/>
                <w:b/>
                <w:bCs/>
              </w:rPr>
            </w:pPr>
            <w:r>
              <w:rPr>
                <w:rFonts w:ascii="Calibri" w:eastAsia="Times New Roman" w:hAnsi="Calibri" w:cs="Times New Roman"/>
              </w:rPr>
              <w:t>Обща стойност</w:t>
            </w:r>
          </w:p>
        </w:tc>
        <w:tc>
          <w:tcPr>
            <w:tcW w:w="1807" w:type="dxa"/>
            <w:tcBorders>
              <w:top w:val="single" w:sz="6" w:space="0" w:color="auto"/>
              <w:bottom w:val="single" w:sz="6" w:space="0" w:color="auto"/>
              <w:right w:val="double" w:sz="4" w:space="0" w:color="auto"/>
            </w:tcBorders>
          </w:tcPr>
          <w:p w:rsidR="00ED0B45" w:rsidRPr="00065718" w:rsidRDefault="00ED0B45" w:rsidP="00672E08">
            <w:pPr>
              <w:spacing w:before="120"/>
              <w:jc w:val="center"/>
              <w:rPr>
                <w:rFonts w:ascii="Calibri" w:eastAsia="Times New Roman" w:hAnsi="Calibri" w:cs="Times New Roman"/>
                <w:b/>
                <w:bCs/>
              </w:rPr>
            </w:pPr>
            <w:r>
              <w:rPr>
                <w:rFonts w:ascii="Calibri" w:eastAsia="Times New Roman" w:hAnsi="Calibri" w:cs="Times New Roman"/>
                <w:b/>
                <w:bCs/>
              </w:rPr>
              <w:t>49 000</w:t>
            </w:r>
          </w:p>
        </w:tc>
        <w:tc>
          <w:tcPr>
            <w:tcW w:w="1260" w:type="dxa"/>
            <w:tcBorders>
              <w:top w:val="single" w:sz="6" w:space="0" w:color="auto"/>
              <w:left w:val="double" w:sz="4" w:space="0" w:color="auto"/>
              <w:bottom w:val="single" w:sz="6" w:space="0" w:color="auto"/>
            </w:tcBorders>
          </w:tcPr>
          <w:p w:rsidR="00ED0B45" w:rsidRPr="00065718" w:rsidRDefault="00ED0B45" w:rsidP="00672E08">
            <w:pPr>
              <w:spacing w:before="120"/>
              <w:jc w:val="center"/>
              <w:rPr>
                <w:rFonts w:ascii="Calibri" w:eastAsia="Times New Roman" w:hAnsi="Calibri" w:cs="Times New Roman"/>
                <w:b/>
                <w:bCs/>
              </w:rPr>
            </w:pPr>
            <w:r>
              <w:rPr>
                <w:rFonts w:ascii="Calibri" w:eastAsia="Times New Roman" w:hAnsi="Calibri" w:cs="Times New Roman"/>
                <w:b/>
                <w:bCs/>
              </w:rPr>
              <w:t>22 000</w:t>
            </w:r>
          </w:p>
        </w:tc>
        <w:tc>
          <w:tcPr>
            <w:tcW w:w="1278" w:type="dxa"/>
            <w:tcBorders>
              <w:top w:val="single" w:sz="6" w:space="0" w:color="auto"/>
              <w:bottom w:val="single" w:sz="6" w:space="0" w:color="auto"/>
            </w:tcBorders>
          </w:tcPr>
          <w:p w:rsidR="00ED0B45" w:rsidRPr="00065718" w:rsidRDefault="00ED0B45" w:rsidP="00672E08">
            <w:pPr>
              <w:spacing w:before="120"/>
              <w:jc w:val="center"/>
              <w:rPr>
                <w:rFonts w:ascii="Calibri" w:eastAsia="Times New Roman" w:hAnsi="Calibri" w:cs="Times New Roman"/>
                <w:b/>
                <w:bCs/>
              </w:rPr>
            </w:pPr>
            <w:r>
              <w:rPr>
                <w:rFonts w:ascii="Calibri" w:eastAsia="Times New Roman" w:hAnsi="Calibri" w:cs="Times New Roman"/>
                <w:b/>
                <w:bCs/>
              </w:rPr>
              <w:t>22 000</w:t>
            </w:r>
          </w:p>
        </w:tc>
        <w:tc>
          <w:tcPr>
            <w:tcW w:w="1276" w:type="dxa"/>
            <w:tcBorders>
              <w:top w:val="single" w:sz="6" w:space="0" w:color="auto"/>
              <w:bottom w:val="single" w:sz="6" w:space="0" w:color="auto"/>
            </w:tcBorders>
          </w:tcPr>
          <w:p w:rsidR="00ED0B45" w:rsidRPr="00065718" w:rsidRDefault="00ED0B45" w:rsidP="00672E08">
            <w:pPr>
              <w:spacing w:before="120"/>
              <w:jc w:val="center"/>
              <w:rPr>
                <w:rFonts w:ascii="Calibri" w:eastAsia="Times New Roman" w:hAnsi="Calibri" w:cs="Times New Roman"/>
                <w:b/>
                <w:bCs/>
              </w:rPr>
            </w:pPr>
            <w:r>
              <w:rPr>
                <w:rFonts w:ascii="Calibri" w:eastAsia="Times New Roman" w:hAnsi="Calibri" w:cs="Times New Roman"/>
                <w:b/>
                <w:bCs/>
              </w:rPr>
              <w:t>5000</w:t>
            </w:r>
          </w:p>
        </w:tc>
        <w:tc>
          <w:tcPr>
            <w:tcW w:w="1560" w:type="dxa"/>
            <w:tcBorders>
              <w:top w:val="single" w:sz="6" w:space="0" w:color="auto"/>
              <w:bottom w:val="single" w:sz="6" w:space="0" w:color="auto"/>
            </w:tcBorders>
          </w:tcPr>
          <w:p w:rsidR="00ED0B45" w:rsidRPr="00065718" w:rsidRDefault="00ED0B45" w:rsidP="00672E08">
            <w:pPr>
              <w:spacing w:before="120"/>
              <w:rPr>
                <w:rFonts w:ascii="Calibri" w:eastAsia="Times New Roman" w:hAnsi="Calibri" w:cs="Times New Roman"/>
                <w:b/>
                <w:bCs/>
              </w:rPr>
            </w:pPr>
          </w:p>
        </w:tc>
      </w:tr>
    </w:tbl>
    <w:p w:rsidR="00E70EE4" w:rsidRDefault="00E70EE4" w:rsidP="00E70EE4">
      <w:pPr>
        <w:rPr>
          <w:szCs w:val="24"/>
        </w:rPr>
      </w:pPr>
    </w:p>
    <w:p w:rsidR="00E70EE4" w:rsidRDefault="00E70EE4" w:rsidP="00E70EE4">
      <w:pPr>
        <w:spacing w:before="240" w:after="100" w:afterAutospacing="1"/>
        <w:jc w:val="both"/>
        <w:rPr>
          <w:b/>
          <w:bCs/>
          <w:i/>
          <w:iCs/>
          <w:szCs w:val="24"/>
        </w:rPr>
      </w:pPr>
      <w:r>
        <w:rPr>
          <w:b/>
          <w:bCs/>
          <w:i/>
          <w:iCs/>
          <w:szCs w:val="24"/>
        </w:rPr>
        <w:t xml:space="preserve">Подготвени са и са разпространени информационни статии за реализираните </w:t>
      </w:r>
      <w:r w:rsidR="00F05F9C">
        <w:rPr>
          <w:b/>
          <w:bCs/>
          <w:i/>
          <w:iCs/>
          <w:szCs w:val="24"/>
        </w:rPr>
        <w:t>инициативи</w:t>
      </w:r>
      <w:r>
        <w:rPr>
          <w:b/>
          <w:bCs/>
          <w:i/>
          <w:iCs/>
          <w:szCs w:val="24"/>
        </w:rPr>
        <w:t>, съгласувани с ФРГИ.</w:t>
      </w:r>
    </w:p>
    <w:p w:rsidR="00E70EE4" w:rsidRDefault="00E70EE4" w:rsidP="00E70EE4">
      <w:pPr>
        <w:spacing w:before="240" w:after="100" w:afterAutospacing="1"/>
        <w:jc w:val="both"/>
        <w:rPr>
          <w:b/>
          <w:bCs/>
          <w:i/>
          <w:iCs/>
          <w:szCs w:val="24"/>
        </w:rPr>
      </w:pPr>
      <w:r>
        <w:rPr>
          <w:b/>
          <w:bCs/>
          <w:i/>
          <w:iCs/>
          <w:szCs w:val="24"/>
        </w:rPr>
        <w:t>Качени са и на сайта на ОДФ – Габрово:</w:t>
      </w:r>
    </w:p>
    <w:p w:rsidR="00E70EE4" w:rsidRPr="00EA0D22" w:rsidRDefault="00124399" w:rsidP="00E70EE4">
      <w:pPr>
        <w:spacing w:before="240" w:after="100" w:afterAutospacing="1"/>
        <w:jc w:val="both"/>
        <w:rPr>
          <w:b/>
          <w:bCs/>
          <w:i/>
          <w:iCs/>
          <w:szCs w:val="24"/>
        </w:rPr>
      </w:pPr>
      <w:hyperlink r:id="rId6" w:history="1">
        <w:r w:rsidR="00E70EE4" w:rsidRPr="00B44D30">
          <w:rPr>
            <w:rStyle w:val="Hyperlink"/>
            <w:b/>
            <w:bCs/>
            <w:i/>
            <w:iCs/>
            <w:szCs w:val="24"/>
          </w:rPr>
          <w:t>http://odfgabrovo.org/news.htm</w:t>
        </w:r>
      </w:hyperlink>
      <w:r w:rsidR="00E70EE4">
        <w:rPr>
          <w:b/>
          <w:bCs/>
          <w:i/>
          <w:iCs/>
          <w:szCs w:val="24"/>
        </w:rPr>
        <w:t xml:space="preserve"> </w:t>
      </w:r>
      <w:r w:rsidR="00E70EE4" w:rsidRPr="00643E5E">
        <w:rPr>
          <w:b/>
          <w:bCs/>
          <w:i/>
          <w:iCs/>
          <w:szCs w:val="24"/>
        </w:rPr>
        <w:t xml:space="preserve">- прес-съобщения </w:t>
      </w:r>
      <w:r w:rsidR="00F05F9C">
        <w:rPr>
          <w:b/>
          <w:bCs/>
          <w:i/>
          <w:iCs/>
          <w:szCs w:val="24"/>
        </w:rPr>
        <w:t>31-3</w:t>
      </w:r>
      <w:r w:rsidR="00E70EE4">
        <w:rPr>
          <w:b/>
          <w:bCs/>
          <w:i/>
          <w:iCs/>
          <w:szCs w:val="24"/>
        </w:rPr>
        <w:t>9</w:t>
      </w:r>
    </w:p>
    <w:p w:rsidR="00E70EE4" w:rsidRPr="00127576" w:rsidRDefault="00127576" w:rsidP="00127576">
      <w:pPr>
        <w:numPr>
          <w:ilvl w:val="12"/>
          <w:numId w:val="0"/>
        </w:numPr>
        <w:tabs>
          <w:tab w:val="left" w:pos="1410"/>
        </w:tabs>
        <w:jc w:val="both"/>
        <w:rPr>
          <w:b/>
          <w:bCs/>
          <w:i/>
          <w:iCs/>
          <w:szCs w:val="24"/>
        </w:rPr>
      </w:pPr>
      <w:r w:rsidRPr="00127576">
        <w:rPr>
          <w:b/>
          <w:bCs/>
          <w:i/>
          <w:iCs/>
          <w:szCs w:val="24"/>
        </w:rPr>
        <w:t>Фондацията не развива стопанска дейност.</w:t>
      </w:r>
    </w:p>
    <w:p w:rsidR="00127576" w:rsidRDefault="00127576" w:rsidP="00E70EE4">
      <w:pPr>
        <w:numPr>
          <w:ilvl w:val="12"/>
          <w:numId w:val="0"/>
        </w:numPr>
        <w:tabs>
          <w:tab w:val="left" w:pos="1410"/>
        </w:tabs>
        <w:jc w:val="both"/>
        <w:rPr>
          <w:b/>
          <w:bCs/>
          <w:i/>
          <w:iCs/>
          <w:szCs w:val="24"/>
        </w:rPr>
      </w:pPr>
    </w:p>
    <w:p w:rsidR="00E70EE4" w:rsidRDefault="00E70EE4" w:rsidP="00E70EE4">
      <w:pPr>
        <w:numPr>
          <w:ilvl w:val="12"/>
          <w:numId w:val="0"/>
        </w:numPr>
        <w:tabs>
          <w:tab w:val="left" w:pos="1410"/>
        </w:tabs>
        <w:jc w:val="both"/>
        <w:rPr>
          <w:b/>
          <w:bCs/>
          <w:i/>
          <w:iCs/>
          <w:szCs w:val="24"/>
        </w:rPr>
      </w:pPr>
      <w:r w:rsidRPr="00EA0D22">
        <w:rPr>
          <w:b/>
          <w:bCs/>
          <w:i/>
          <w:iCs/>
          <w:szCs w:val="24"/>
        </w:rPr>
        <w:t>Всички дейности насърчават равенството на жените и мъжете, не пречат за включване на хората с увреждания и съдействат за повишаване на толерантността, солидарността и разбирателството в общността</w:t>
      </w:r>
    </w:p>
    <w:p w:rsidR="00E70EE4" w:rsidRDefault="00ED0B45" w:rsidP="00ED0B45">
      <w:pPr>
        <w:numPr>
          <w:ilvl w:val="12"/>
          <w:numId w:val="0"/>
        </w:numPr>
        <w:tabs>
          <w:tab w:val="left" w:pos="7530"/>
        </w:tabs>
        <w:jc w:val="both"/>
      </w:pPr>
      <w:r>
        <w:rPr>
          <w:b/>
          <w:bCs/>
          <w:i/>
          <w:iCs/>
          <w:szCs w:val="24"/>
        </w:rPr>
        <w:tab/>
      </w:r>
    </w:p>
    <w:p w:rsidR="00E70EE4" w:rsidRPr="00127576" w:rsidRDefault="00127576" w:rsidP="00127576">
      <w:pPr>
        <w:numPr>
          <w:ilvl w:val="12"/>
          <w:numId w:val="0"/>
        </w:numPr>
        <w:tabs>
          <w:tab w:val="left" w:pos="1410"/>
        </w:tabs>
        <w:jc w:val="both"/>
        <w:rPr>
          <w:b/>
          <w:bCs/>
          <w:i/>
          <w:iCs/>
          <w:szCs w:val="24"/>
        </w:rPr>
      </w:pPr>
      <w:r>
        <w:rPr>
          <w:b/>
          <w:bCs/>
          <w:i/>
          <w:iCs/>
          <w:szCs w:val="24"/>
        </w:rPr>
        <w:t>През отчетната 2017</w:t>
      </w:r>
      <w:r w:rsidRPr="00127576">
        <w:rPr>
          <w:b/>
          <w:bCs/>
          <w:i/>
          <w:iCs/>
          <w:szCs w:val="24"/>
        </w:rPr>
        <w:t xml:space="preserve"> година имотът, предоставен от Община Габрово е стопанисван адекватно и поддържан от страна на Фондация „Обществен дарителски фонд – Габрово”. Всички задължения по поддръжка и експлоатация на офиса са текущо платени и няма задължения, свързани със стопанисването на имота.</w:t>
      </w:r>
    </w:p>
    <w:p w:rsidR="00E70EE4" w:rsidRPr="00E70EE4" w:rsidRDefault="00E70EE4">
      <w:pPr>
        <w:rPr>
          <w:lang w:val="en-US"/>
        </w:rPr>
      </w:pPr>
    </w:p>
    <w:sectPr w:rsidR="00E70EE4" w:rsidRPr="00E70EE4" w:rsidSect="00D8022C">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D85"/>
    <w:multiLevelType w:val="hybridMultilevel"/>
    <w:tmpl w:val="6B20013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18CF6FCC"/>
    <w:multiLevelType w:val="hybridMultilevel"/>
    <w:tmpl w:val="82102DB6"/>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
    <w:nsid w:val="1C2021EA"/>
    <w:multiLevelType w:val="hybridMultilevel"/>
    <w:tmpl w:val="27843AC0"/>
    <w:lvl w:ilvl="0" w:tplc="04020013">
      <w:start w:val="1"/>
      <w:numFmt w:val="upperRoman"/>
      <w:lvlText w:val="%1."/>
      <w:lvlJc w:val="righ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nsid w:val="297B0EE4"/>
    <w:multiLevelType w:val="hybridMultilevel"/>
    <w:tmpl w:val="A418BE98"/>
    <w:lvl w:ilvl="0" w:tplc="5C3CDC1C">
      <w:numFmt w:val="bullet"/>
      <w:lvlText w:val="-"/>
      <w:lvlJc w:val="left"/>
      <w:pPr>
        <w:ind w:left="1080" w:hanging="360"/>
      </w:pPr>
      <w:rPr>
        <w:rFonts w:ascii="Arial" w:eastAsia="Times New Roman" w:hAnsi="Arial" w:cs="Arial" w:hint="default"/>
        <w:b/>
        <w:sz w:val="22"/>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304B666B"/>
    <w:multiLevelType w:val="hybridMultilevel"/>
    <w:tmpl w:val="CC8A4BA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2CB54AC"/>
    <w:multiLevelType w:val="hybridMultilevel"/>
    <w:tmpl w:val="FC387850"/>
    <w:lvl w:ilvl="0" w:tplc="06A06C0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D06E94"/>
    <w:multiLevelType w:val="hybridMultilevel"/>
    <w:tmpl w:val="C2C6A026"/>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7">
    <w:nsid w:val="5AF53866"/>
    <w:multiLevelType w:val="hybridMultilevel"/>
    <w:tmpl w:val="A894A09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5BD662D1"/>
    <w:multiLevelType w:val="hybridMultilevel"/>
    <w:tmpl w:val="92380066"/>
    <w:lvl w:ilvl="0" w:tplc="8E34E7F8">
      <w:start w:val="1"/>
      <w:numFmt w:val="decimal"/>
      <w:lvlText w:val="%1."/>
      <w:lvlJc w:val="left"/>
      <w:pPr>
        <w:ind w:left="1503" w:hanging="360"/>
      </w:pPr>
      <w:rPr>
        <w:rFonts w:hint="default"/>
      </w:rPr>
    </w:lvl>
    <w:lvl w:ilvl="1" w:tplc="04020019" w:tentative="1">
      <w:start w:val="1"/>
      <w:numFmt w:val="lowerLetter"/>
      <w:lvlText w:val="%2."/>
      <w:lvlJc w:val="left"/>
      <w:pPr>
        <w:ind w:left="2223" w:hanging="360"/>
      </w:pPr>
    </w:lvl>
    <w:lvl w:ilvl="2" w:tplc="0402001B" w:tentative="1">
      <w:start w:val="1"/>
      <w:numFmt w:val="lowerRoman"/>
      <w:lvlText w:val="%3."/>
      <w:lvlJc w:val="right"/>
      <w:pPr>
        <w:ind w:left="2943" w:hanging="180"/>
      </w:pPr>
    </w:lvl>
    <w:lvl w:ilvl="3" w:tplc="0402000F" w:tentative="1">
      <w:start w:val="1"/>
      <w:numFmt w:val="decimal"/>
      <w:lvlText w:val="%4."/>
      <w:lvlJc w:val="left"/>
      <w:pPr>
        <w:ind w:left="3663" w:hanging="360"/>
      </w:pPr>
    </w:lvl>
    <w:lvl w:ilvl="4" w:tplc="04020019" w:tentative="1">
      <w:start w:val="1"/>
      <w:numFmt w:val="lowerLetter"/>
      <w:lvlText w:val="%5."/>
      <w:lvlJc w:val="left"/>
      <w:pPr>
        <w:ind w:left="4383" w:hanging="360"/>
      </w:pPr>
    </w:lvl>
    <w:lvl w:ilvl="5" w:tplc="0402001B" w:tentative="1">
      <w:start w:val="1"/>
      <w:numFmt w:val="lowerRoman"/>
      <w:lvlText w:val="%6."/>
      <w:lvlJc w:val="right"/>
      <w:pPr>
        <w:ind w:left="5103" w:hanging="180"/>
      </w:pPr>
    </w:lvl>
    <w:lvl w:ilvl="6" w:tplc="0402000F" w:tentative="1">
      <w:start w:val="1"/>
      <w:numFmt w:val="decimal"/>
      <w:lvlText w:val="%7."/>
      <w:lvlJc w:val="left"/>
      <w:pPr>
        <w:ind w:left="5823" w:hanging="360"/>
      </w:pPr>
    </w:lvl>
    <w:lvl w:ilvl="7" w:tplc="04020019" w:tentative="1">
      <w:start w:val="1"/>
      <w:numFmt w:val="lowerLetter"/>
      <w:lvlText w:val="%8."/>
      <w:lvlJc w:val="left"/>
      <w:pPr>
        <w:ind w:left="6543" w:hanging="360"/>
      </w:pPr>
    </w:lvl>
    <w:lvl w:ilvl="8" w:tplc="0402001B" w:tentative="1">
      <w:start w:val="1"/>
      <w:numFmt w:val="lowerRoman"/>
      <w:lvlText w:val="%9."/>
      <w:lvlJc w:val="right"/>
      <w:pPr>
        <w:ind w:left="7263" w:hanging="180"/>
      </w:pPr>
    </w:lvl>
  </w:abstractNum>
  <w:abstractNum w:abstractNumId="9">
    <w:nsid w:val="66A2210B"/>
    <w:multiLevelType w:val="hybridMultilevel"/>
    <w:tmpl w:val="A2DC74A8"/>
    <w:lvl w:ilvl="0" w:tplc="8340D234">
      <w:start w:val="5"/>
      <w:numFmt w:val="bullet"/>
      <w:lvlText w:val="-"/>
      <w:lvlJc w:val="left"/>
      <w:pPr>
        <w:tabs>
          <w:tab w:val="num" w:pos="1563"/>
        </w:tabs>
        <w:ind w:left="1563" w:hanging="855"/>
      </w:pPr>
      <w:rPr>
        <w:rFonts w:ascii="Arial" w:eastAsia="Times New Roman" w:hAnsi="Arial" w:cs="Aria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7"/>
  </w:num>
  <w:num w:numId="6">
    <w:abstractNumId w:val="5"/>
  </w:num>
  <w:num w:numId="7">
    <w:abstractNumId w:val="9"/>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C5"/>
    <w:rsid w:val="00077FD7"/>
    <w:rsid w:val="00093D6E"/>
    <w:rsid w:val="000C0451"/>
    <w:rsid w:val="00124399"/>
    <w:rsid w:val="00127576"/>
    <w:rsid w:val="001A5F80"/>
    <w:rsid w:val="001B6EDA"/>
    <w:rsid w:val="002269C5"/>
    <w:rsid w:val="00341847"/>
    <w:rsid w:val="00414F95"/>
    <w:rsid w:val="004C012A"/>
    <w:rsid w:val="00550315"/>
    <w:rsid w:val="006022E1"/>
    <w:rsid w:val="00725670"/>
    <w:rsid w:val="00770B39"/>
    <w:rsid w:val="00785BA0"/>
    <w:rsid w:val="00824084"/>
    <w:rsid w:val="009B6582"/>
    <w:rsid w:val="00D8022C"/>
    <w:rsid w:val="00DA125E"/>
    <w:rsid w:val="00DD5C48"/>
    <w:rsid w:val="00DF4167"/>
    <w:rsid w:val="00E70EE4"/>
    <w:rsid w:val="00ED0B45"/>
    <w:rsid w:val="00F05F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E70EE4"/>
    <w:pPr>
      <w:keepNext/>
      <w:numPr>
        <w:ilvl w:val="12"/>
      </w:numPr>
      <w:spacing w:after="0" w:line="240" w:lineRule="auto"/>
      <w:ind w:left="283" w:hanging="283"/>
      <w:jc w:val="both"/>
      <w:outlineLvl w:val="3"/>
    </w:pPr>
    <w:rPr>
      <w:rFonts w:ascii="Times New Roman" w:eastAsia="Times New Roman" w:hAnsi="Times New Roman" w:cs="Times New Roman"/>
      <w:b/>
      <w:bCs/>
      <w:noProof/>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70EE4"/>
    <w:rPr>
      <w:rFonts w:ascii="Times New Roman" w:eastAsia="Times New Roman" w:hAnsi="Times New Roman" w:cs="Times New Roman"/>
      <w:b/>
      <w:bCs/>
      <w:noProof/>
      <w:sz w:val="24"/>
      <w:szCs w:val="20"/>
      <w:lang w:val="en-GB" w:eastAsia="en-US"/>
    </w:rPr>
  </w:style>
  <w:style w:type="paragraph" w:styleId="BodyText">
    <w:name w:val="Body Text"/>
    <w:basedOn w:val="Normal"/>
    <w:link w:val="BodyTextChar"/>
    <w:rsid w:val="00E70EE4"/>
    <w:pPr>
      <w:spacing w:after="0" w:line="240" w:lineRule="auto"/>
    </w:pPr>
    <w:rPr>
      <w:rFonts w:ascii="Times New Roman" w:eastAsia="Times New Roman" w:hAnsi="Times New Roman" w:cs="Times New Roman"/>
      <w:i/>
      <w:iCs/>
      <w:sz w:val="24"/>
      <w:szCs w:val="20"/>
      <w:lang w:val="en-GB" w:eastAsia="en-US"/>
    </w:rPr>
  </w:style>
  <w:style w:type="character" w:customStyle="1" w:styleId="BodyTextChar">
    <w:name w:val="Body Text Char"/>
    <w:basedOn w:val="DefaultParagraphFont"/>
    <w:link w:val="BodyText"/>
    <w:rsid w:val="00E70EE4"/>
    <w:rPr>
      <w:rFonts w:ascii="Times New Roman" w:eastAsia="Times New Roman" w:hAnsi="Times New Roman" w:cs="Times New Roman"/>
      <w:i/>
      <w:iCs/>
      <w:sz w:val="24"/>
      <w:szCs w:val="20"/>
      <w:lang w:val="en-GB" w:eastAsia="en-US"/>
    </w:rPr>
  </w:style>
  <w:style w:type="paragraph" w:customStyle="1" w:styleId="a">
    <w:name w:val="a"/>
    <w:basedOn w:val="Normal"/>
    <w:rsid w:val="00E70EE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E70EE4"/>
    <w:pPr>
      <w:spacing w:after="0" w:line="240" w:lineRule="auto"/>
    </w:pPr>
    <w:rPr>
      <w:rFonts w:ascii="Times New Roman" w:eastAsia="Times New Roman" w:hAnsi="Times New Roman" w:cs="Times New Roman"/>
      <w:b/>
      <w:sz w:val="28"/>
      <w:szCs w:val="20"/>
      <w:lang w:eastAsia="en-US"/>
    </w:rPr>
  </w:style>
  <w:style w:type="character" w:customStyle="1" w:styleId="SubtitleChar">
    <w:name w:val="Subtitle Char"/>
    <w:basedOn w:val="DefaultParagraphFont"/>
    <w:link w:val="Subtitle"/>
    <w:rsid w:val="00E70EE4"/>
    <w:rPr>
      <w:rFonts w:ascii="Times New Roman" w:eastAsia="Times New Roman" w:hAnsi="Times New Roman" w:cs="Times New Roman"/>
      <w:b/>
      <w:sz w:val="28"/>
      <w:szCs w:val="20"/>
      <w:lang w:eastAsia="en-US"/>
    </w:rPr>
  </w:style>
  <w:style w:type="character" w:styleId="Hyperlink">
    <w:name w:val="Hyperlink"/>
    <w:basedOn w:val="DefaultParagraphFont"/>
    <w:uiPriority w:val="99"/>
    <w:unhideWhenUsed/>
    <w:rsid w:val="00E70EE4"/>
    <w:rPr>
      <w:color w:val="0000FF"/>
      <w:u w:val="single"/>
    </w:rPr>
  </w:style>
  <w:style w:type="paragraph" w:styleId="ListParagraph">
    <w:name w:val="List Paragraph"/>
    <w:basedOn w:val="Normal"/>
    <w:uiPriority w:val="34"/>
    <w:qFormat/>
    <w:rsid w:val="00077FD7"/>
    <w:pPr>
      <w:ind w:left="720"/>
      <w:contextualSpacing/>
    </w:pPr>
  </w:style>
  <w:style w:type="paragraph" w:styleId="BalloonText">
    <w:name w:val="Balloon Text"/>
    <w:basedOn w:val="Normal"/>
    <w:link w:val="BalloonTextChar"/>
    <w:uiPriority w:val="99"/>
    <w:semiHidden/>
    <w:unhideWhenUsed/>
    <w:rsid w:val="0012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E70EE4"/>
    <w:pPr>
      <w:keepNext/>
      <w:numPr>
        <w:ilvl w:val="12"/>
      </w:numPr>
      <w:spacing w:after="0" w:line="240" w:lineRule="auto"/>
      <w:ind w:left="283" w:hanging="283"/>
      <w:jc w:val="both"/>
      <w:outlineLvl w:val="3"/>
    </w:pPr>
    <w:rPr>
      <w:rFonts w:ascii="Times New Roman" w:eastAsia="Times New Roman" w:hAnsi="Times New Roman" w:cs="Times New Roman"/>
      <w:b/>
      <w:bCs/>
      <w:noProof/>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70EE4"/>
    <w:rPr>
      <w:rFonts w:ascii="Times New Roman" w:eastAsia="Times New Roman" w:hAnsi="Times New Roman" w:cs="Times New Roman"/>
      <w:b/>
      <w:bCs/>
      <w:noProof/>
      <w:sz w:val="24"/>
      <w:szCs w:val="20"/>
      <w:lang w:val="en-GB" w:eastAsia="en-US"/>
    </w:rPr>
  </w:style>
  <w:style w:type="paragraph" w:styleId="BodyText">
    <w:name w:val="Body Text"/>
    <w:basedOn w:val="Normal"/>
    <w:link w:val="BodyTextChar"/>
    <w:rsid w:val="00E70EE4"/>
    <w:pPr>
      <w:spacing w:after="0" w:line="240" w:lineRule="auto"/>
    </w:pPr>
    <w:rPr>
      <w:rFonts w:ascii="Times New Roman" w:eastAsia="Times New Roman" w:hAnsi="Times New Roman" w:cs="Times New Roman"/>
      <w:i/>
      <w:iCs/>
      <w:sz w:val="24"/>
      <w:szCs w:val="20"/>
      <w:lang w:val="en-GB" w:eastAsia="en-US"/>
    </w:rPr>
  </w:style>
  <w:style w:type="character" w:customStyle="1" w:styleId="BodyTextChar">
    <w:name w:val="Body Text Char"/>
    <w:basedOn w:val="DefaultParagraphFont"/>
    <w:link w:val="BodyText"/>
    <w:rsid w:val="00E70EE4"/>
    <w:rPr>
      <w:rFonts w:ascii="Times New Roman" w:eastAsia="Times New Roman" w:hAnsi="Times New Roman" w:cs="Times New Roman"/>
      <w:i/>
      <w:iCs/>
      <w:sz w:val="24"/>
      <w:szCs w:val="20"/>
      <w:lang w:val="en-GB" w:eastAsia="en-US"/>
    </w:rPr>
  </w:style>
  <w:style w:type="paragraph" w:customStyle="1" w:styleId="a">
    <w:name w:val="a"/>
    <w:basedOn w:val="Normal"/>
    <w:rsid w:val="00E70EE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E70EE4"/>
    <w:pPr>
      <w:spacing w:after="0" w:line="240" w:lineRule="auto"/>
    </w:pPr>
    <w:rPr>
      <w:rFonts w:ascii="Times New Roman" w:eastAsia="Times New Roman" w:hAnsi="Times New Roman" w:cs="Times New Roman"/>
      <w:b/>
      <w:sz w:val="28"/>
      <w:szCs w:val="20"/>
      <w:lang w:eastAsia="en-US"/>
    </w:rPr>
  </w:style>
  <w:style w:type="character" w:customStyle="1" w:styleId="SubtitleChar">
    <w:name w:val="Subtitle Char"/>
    <w:basedOn w:val="DefaultParagraphFont"/>
    <w:link w:val="Subtitle"/>
    <w:rsid w:val="00E70EE4"/>
    <w:rPr>
      <w:rFonts w:ascii="Times New Roman" w:eastAsia="Times New Roman" w:hAnsi="Times New Roman" w:cs="Times New Roman"/>
      <w:b/>
      <w:sz w:val="28"/>
      <w:szCs w:val="20"/>
      <w:lang w:eastAsia="en-US"/>
    </w:rPr>
  </w:style>
  <w:style w:type="character" w:styleId="Hyperlink">
    <w:name w:val="Hyperlink"/>
    <w:basedOn w:val="DefaultParagraphFont"/>
    <w:uiPriority w:val="99"/>
    <w:unhideWhenUsed/>
    <w:rsid w:val="00E70EE4"/>
    <w:rPr>
      <w:color w:val="0000FF"/>
      <w:u w:val="single"/>
    </w:rPr>
  </w:style>
  <w:style w:type="paragraph" w:styleId="ListParagraph">
    <w:name w:val="List Paragraph"/>
    <w:basedOn w:val="Normal"/>
    <w:uiPriority w:val="34"/>
    <w:qFormat/>
    <w:rsid w:val="00077FD7"/>
    <w:pPr>
      <w:ind w:left="720"/>
      <w:contextualSpacing/>
    </w:pPr>
  </w:style>
  <w:style w:type="paragraph" w:styleId="BalloonText">
    <w:name w:val="Balloon Text"/>
    <w:basedOn w:val="Normal"/>
    <w:link w:val="BalloonTextChar"/>
    <w:uiPriority w:val="99"/>
    <w:semiHidden/>
    <w:unhideWhenUsed/>
    <w:rsid w:val="0012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63568">
      <w:bodyDiv w:val="1"/>
      <w:marLeft w:val="0"/>
      <w:marRight w:val="0"/>
      <w:marTop w:val="0"/>
      <w:marBottom w:val="0"/>
      <w:divBdr>
        <w:top w:val="none" w:sz="0" w:space="0" w:color="auto"/>
        <w:left w:val="none" w:sz="0" w:space="0" w:color="auto"/>
        <w:bottom w:val="none" w:sz="0" w:space="0" w:color="auto"/>
        <w:right w:val="none" w:sz="0" w:space="0" w:color="auto"/>
      </w:divBdr>
    </w:div>
    <w:div w:id="1268344538">
      <w:bodyDiv w:val="1"/>
      <w:marLeft w:val="0"/>
      <w:marRight w:val="0"/>
      <w:marTop w:val="0"/>
      <w:marBottom w:val="0"/>
      <w:divBdr>
        <w:top w:val="none" w:sz="0" w:space="0" w:color="auto"/>
        <w:left w:val="none" w:sz="0" w:space="0" w:color="auto"/>
        <w:bottom w:val="none" w:sz="0" w:space="0" w:color="auto"/>
        <w:right w:val="none" w:sz="0" w:space="0" w:color="auto"/>
      </w:divBdr>
    </w:div>
    <w:div w:id="1377660265">
      <w:bodyDiv w:val="1"/>
      <w:marLeft w:val="0"/>
      <w:marRight w:val="0"/>
      <w:marTop w:val="0"/>
      <w:marBottom w:val="0"/>
      <w:divBdr>
        <w:top w:val="none" w:sz="0" w:space="0" w:color="auto"/>
        <w:left w:val="none" w:sz="0" w:space="0" w:color="auto"/>
        <w:bottom w:val="none" w:sz="0" w:space="0" w:color="auto"/>
        <w:right w:val="none" w:sz="0" w:space="0" w:color="auto"/>
      </w:divBdr>
    </w:div>
    <w:div w:id="172996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dfgabrovo.org/new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1365</Words>
  <Characters>7785</Characters>
  <Application>Microsoft Office Word</Application>
  <DocSecurity>4</DocSecurity>
  <Lines>64</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Mihaela Stoyanova</cp:lastModifiedBy>
  <cp:revision>2</cp:revision>
  <cp:lastPrinted>2018-03-06T11:59:00Z</cp:lastPrinted>
  <dcterms:created xsi:type="dcterms:W3CDTF">2018-03-06T15:11:00Z</dcterms:created>
  <dcterms:modified xsi:type="dcterms:W3CDTF">2018-03-06T15:11:00Z</dcterms:modified>
</cp:coreProperties>
</file>